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0" w:type="dxa"/>
          <w:right w:w="0" w:type="dxa"/>
        </w:tblCellMar>
        <w:tblLook w:val="0000" w:firstRow="0" w:lastRow="0" w:firstColumn="0" w:lastColumn="0" w:noHBand="0" w:noVBand="0"/>
      </w:tblPr>
      <w:tblGrid>
        <w:gridCol w:w="6600"/>
        <w:gridCol w:w="1440"/>
        <w:gridCol w:w="1668"/>
      </w:tblGrid>
      <w:tr w:rsidR="00F81EE9" w:rsidRPr="00BF7DD8">
        <w:tc>
          <w:tcPr>
            <w:tcW w:w="6600" w:type="dxa"/>
            <w:tcMar>
              <w:top w:w="0" w:type="dxa"/>
              <w:left w:w="108" w:type="dxa"/>
              <w:bottom w:w="0" w:type="dxa"/>
              <w:right w:w="108" w:type="dxa"/>
            </w:tcMar>
          </w:tcPr>
          <w:p w:rsidR="00F81EE9" w:rsidRPr="00BF7DD8" w:rsidRDefault="00F81EE9">
            <w:pPr>
              <w:pStyle w:val="NormalWeb"/>
              <w:spacing w:before="0" w:beforeAutospacing="0" w:after="0" w:afterAutospacing="0"/>
            </w:pPr>
            <w:bookmarkStart w:id="0" w:name="_GoBack"/>
            <w:bookmarkEnd w:id="0"/>
            <w:r w:rsidRPr="00BF7DD8">
              <w:rPr>
                <w:sz w:val="20"/>
                <w:szCs w:val="20"/>
              </w:rPr>
              <w:t>REPUBLIKA  HRVATSKA</w:t>
            </w:r>
          </w:p>
          <w:p w:rsidR="00164716" w:rsidRPr="00BF7DD8" w:rsidRDefault="00164716">
            <w:pPr>
              <w:pStyle w:val="NormalWeb"/>
              <w:spacing w:before="0" w:beforeAutospacing="0" w:after="0" w:afterAutospacing="0"/>
              <w:rPr>
                <w:sz w:val="20"/>
                <w:szCs w:val="20"/>
              </w:rPr>
            </w:pPr>
            <w:r w:rsidRPr="00BF7DD8">
              <w:rPr>
                <w:sz w:val="20"/>
                <w:szCs w:val="20"/>
              </w:rPr>
              <w:t>Međimurska županija</w:t>
            </w:r>
          </w:p>
          <w:p w:rsidR="00F81EE9" w:rsidRPr="00BF7DD8" w:rsidRDefault="00164716">
            <w:pPr>
              <w:pStyle w:val="NormalWeb"/>
              <w:spacing w:before="0" w:beforeAutospacing="0" w:after="0" w:afterAutospacing="0"/>
            </w:pPr>
            <w:r w:rsidRPr="00BF7DD8">
              <w:rPr>
                <w:sz w:val="20"/>
                <w:szCs w:val="20"/>
              </w:rPr>
              <w:t>Općina Orehovica</w:t>
            </w:r>
            <w:r w:rsidR="00F81EE9" w:rsidRPr="00BF7DD8">
              <w:rPr>
                <w:bCs/>
                <w:sz w:val="20"/>
                <w:szCs w:val="20"/>
              </w:rPr>
              <w:t xml:space="preserve">          </w:t>
            </w:r>
          </w:p>
        </w:tc>
        <w:tc>
          <w:tcPr>
            <w:tcW w:w="1440" w:type="dxa"/>
            <w:tcMar>
              <w:top w:w="0" w:type="dxa"/>
              <w:left w:w="108" w:type="dxa"/>
              <w:bottom w:w="0" w:type="dxa"/>
              <w:right w:w="108" w:type="dxa"/>
            </w:tcMar>
          </w:tcPr>
          <w:p w:rsidR="00F81EE9" w:rsidRPr="00BF7DD8" w:rsidRDefault="00F81EE9">
            <w:pPr>
              <w:pStyle w:val="NormalWeb"/>
              <w:spacing w:before="0" w:beforeAutospacing="0" w:after="0" w:afterAutospacing="0"/>
            </w:pPr>
            <w:r w:rsidRPr="00BF7DD8">
              <w:rPr>
                <w:sz w:val="20"/>
                <w:szCs w:val="20"/>
              </w:rPr>
              <w:t> </w:t>
            </w:r>
          </w:p>
          <w:p w:rsidR="00F81EE9" w:rsidRPr="00BF7DD8" w:rsidRDefault="00F81EE9">
            <w:pPr>
              <w:pStyle w:val="NormalWeb"/>
              <w:spacing w:before="0" w:beforeAutospacing="0" w:after="0" w:afterAutospacing="0"/>
            </w:pPr>
            <w:r w:rsidRPr="00BF7DD8">
              <w:rPr>
                <w:sz w:val="20"/>
                <w:szCs w:val="20"/>
              </w:rPr>
              <w:t> </w:t>
            </w:r>
          </w:p>
          <w:p w:rsidR="00F81EE9" w:rsidRPr="00BF7DD8" w:rsidRDefault="00F81EE9">
            <w:pPr>
              <w:pStyle w:val="NormalWeb"/>
              <w:spacing w:before="0" w:beforeAutospacing="0" w:after="0" w:afterAutospacing="0"/>
            </w:pPr>
            <w:r w:rsidRPr="00BF7DD8">
              <w:rPr>
                <w:sz w:val="20"/>
                <w:szCs w:val="20"/>
              </w:rPr>
              <w:t>Razina</w:t>
            </w:r>
          </w:p>
        </w:tc>
        <w:tc>
          <w:tcPr>
            <w:tcW w:w="1668" w:type="dxa"/>
            <w:tcBorders>
              <w:bottom w:val="single" w:sz="4" w:space="0" w:color="000000"/>
            </w:tcBorders>
            <w:tcMar>
              <w:top w:w="0" w:type="dxa"/>
              <w:left w:w="108" w:type="dxa"/>
              <w:bottom w:w="0" w:type="dxa"/>
              <w:right w:w="108" w:type="dxa"/>
            </w:tcMar>
          </w:tcPr>
          <w:p w:rsidR="00F81EE9" w:rsidRPr="00BF7DD8" w:rsidRDefault="00F81EE9">
            <w:pPr>
              <w:pStyle w:val="NormalWeb"/>
              <w:spacing w:before="0" w:beforeAutospacing="0" w:after="0" w:afterAutospacing="0"/>
              <w:jc w:val="right"/>
            </w:pPr>
            <w:r w:rsidRPr="00BF7DD8">
              <w:rPr>
                <w:sz w:val="20"/>
                <w:szCs w:val="20"/>
              </w:rPr>
              <w:t> </w:t>
            </w:r>
          </w:p>
          <w:p w:rsidR="00F81EE9" w:rsidRPr="00BF7DD8" w:rsidRDefault="00F81EE9">
            <w:pPr>
              <w:pStyle w:val="NormalWeb"/>
              <w:spacing w:before="0" w:beforeAutospacing="0" w:after="0" w:afterAutospacing="0"/>
              <w:jc w:val="right"/>
            </w:pPr>
            <w:r w:rsidRPr="00BF7DD8">
              <w:rPr>
                <w:sz w:val="20"/>
                <w:szCs w:val="20"/>
              </w:rPr>
              <w:t> </w:t>
            </w:r>
          </w:p>
          <w:p w:rsidR="00F81EE9" w:rsidRPr="00BF7DD8" w:rsidRDefault="00F81EE9">
            <w:pPr>
              <w:pStyle w:val="NormalWeb"/>
              <w:spacing w:before="0" w:beforeAutospacing="0" w:after="0" w:afterAutospacing="0"/>
              <w:jc w:val="right"/>
            </w:pPr>
            <w:r w:rsidRPr="00BF7DD8">
              <w:rPr>
                <w:sz w:val="20"/>
                <w:szCs w:val="20"/>
              </w:rPr>
              <w:t>22</w:t>
            </w:r>
          </w:p>
        </w:tc>
      </w:tr>
      <w:tr w:rsidR="00F81EE9" w:rsidRPr="00BF7DD8">
        <w:tc>
          <w:tcPr>
            <w:tcW w:w="6600" w:type="dxa"/>
            <w:tcMar>
              <w:top w:w="0" w:type="dxa"/>
              <w:left w:w="108" w:type="dxa"/>
              <w:bottom w:w="0" w:type="dxa"/>
              <w:right w:w="108" w:type="dxa"/>
            </w:tcMar>
          </w:tcPr>
          <w:p w:rsidR="00F81EE9" w:rsidRPr="00BF7DD8" w:rsidRDefault="00F81EE9">
            <w:pPr>
              <w:pStyle w:val="NormalWeb"/>
              <w:spacing w:before="0" w:beforeAutospacing="0" w:after="0" w:afterAutospacing="0"/>
            </w:pPr>
            <w:r w:rsidRPr="00BF7DD8">
              <w:rPr>
                <w:sz w:val="20"/>
                <w:szCs w:val="20"/>
              </w:rPr>
              <w:t> </w:t>
            </w:r>
          </w:p>
          <w:p w:rsidR="00F81EE9" w:rsidRPr="00BF7DD8" w:rsidRDefault="00F81EE9">
            <w:pPr>
              <w:pStyle w:val="NormalWeb"/>
              <w:spacing w:before="0" w:beforeAutospacing="0" w:after="0" w:afterAutospacing="0"/>
              <w:rPr>
                <w:b/>
              </w:rPr>
            </w:pPr>
            <w:r w:rsidRPr="00BF7DD8">
              <w:rPr>
                <w:sz w:val="20"/>
                <w:szCs w:val="20"/>
              </w:rPr>
              <w:t xml:space="preserve">AKT: </w:t>
            </w:r>
            <w:r w:rsidR="00AE369F" w:rsidRPr="00AE369F">
              <w:rPr>
                <w:b/>
                <w:sz w:val="20"/>
                <w:szCs w:val="20"/>
              </w:rPr>
              <w:t>GODIŠNJI</w:t>
            </w:r>
            <w:r w:rsidR="00164716" w:rsidRPr="00AE369F">
              <w:rPr>
                <w:b/>
                <w:sz w:val="20"/>
                <w:szCs w:val="20"/>
              </w:rPr>
              <w:t xml:space="preserve"> </w:t>
            </w:r>
            <w:r w:rsidR="00164716" w:rsidRPr="00BF7DD8">
              <w:rPr>
                <w:b/>
                <w:sz w:val="20"/>
                <w:szCs w:val="20"/>
              </w:rPr>
              <w:t>IZVJ</w:t>
            </w:r>
            <w:r w:rsidR="00BF7DD8" w:rsidRPr="00BF7DD8">
              <w:rPr>
                <w:b/>
                <w:sz w:val="20"/>
                <w:szCs w:val="20"/>
              </w:rPr>
              <w:t>EŠTAJ O I</w:t>
            </w:r>
            <w:r w:rsidRPr="00BF7DD8">
              <w:rPr>
                <w:b/>
                <w:bCs/>
                <w:sz w:val="20"/>
                <w:szCs w:val="20"/>
              </w:rPr>
              <w:t>ZVRŠENJU PRORAČUNA</w:t>
            </w:r>
          </w:p>
          <w:p w:rsidR="00F81EE9" w:rsidRPr="00FD53EC" w:rsidRDefault="00F81EE9" w:rsidP="00495077">
            <w:pPr>
              <w:pStyle w:val="NormalWeb"/>
              <w:spacing w:before="0" w:beforeAutospacing="0" w:after="0" w:afterAutospacing="0"/>
              <w:rPr>
                <w:b/>
                <w:bCs/>
                <w:sz w:val="20"/>
                <w:szCs w:val="20"/>
              </w:rPr>
            </w:pPr>
            <w:r w:rsidRPr="00BF7DD8">
              <w:rPr>
                <w:b/>
                <w:bCs/>
                <w:sz w:val="20"/>
                <w:szCs w:val="20"/>
              </w:rPr>
              <w:t xml:space="preserve">         ZA </w:t>
            </w:r>
            <w:r w:rsidR="00464EAA">
              <w:rPr>
                <w:b/>
                <w:bCs/>
                <w:sz w:val="20"/>
                <w:szCs w:val="20"/>
              </w:rPr>
              <w:t>201</w:t>
            </w:r>
            <w:r w:rsidR="004A7C7B">
              <w:rPr>
                <w:b/>
                <w:bCs/>
                <w:sz w:val="20"/>
                <w:szCs w:val="20"/>
              </w:rPr>
              <w:t>9</w:t>
            </w:r>
            <w:r w:rsidR="00495077">
              <w:rPr>
                <w:b/>
                <w:bCs/>
                <w:sz w:val="20"/>
                <w:szCs w:val="20"/>
              </w:rPr>
              <w:t>.</w:t>
            </w:r>
            <w:r w:rsidRPr="00BF7DD8">
              <w:rPr>
                <w:b/>
                <w:bCs/>
                <w:sz w:val="20"/>
                <w:szCs w:val="20"/>
              </w:rPr>
              <w:t xml:space="preserve"> GODINU</w:t>
            </w:r>
          </w:p>
        </w:tc>
        <w:tc>
          <w:tcPr>
            <w:tcW w:w="1440" w:type="dxa"/>
            <w:tcMar>
              <w:top w:w="0" w:type="dxa"/>
              <w:left w:w="108" w:type="dxa"/>
              <w:bottom w:w="0" w:type="dxa"/>
              <w:right w:w="108" w:type="dxa"/>
            </w:tcMar>
          </w:tcPr>
          <w:p w:rsidR="00F81EE9" w:rsidRPr="00BF7DD8" w:rsidRDefault="00F81EE9">
            <w:pPr>
              <w:pStyle w:val="NormalWeb"/>
              <w:spacing w:before="0" w:beforeAutospacing="0" w:after="0" w:afterAutospacing="0"/>
            </w:pPr>
            <w:r w:rsidRPr="00BF7DD8">
              <w:rPr>
                <w:sz w:val="20"/>
                <w:szCs w:val="20"/>
              </w:rPr>
              <w:t> </w:t>
            </w:r>
          </w:p>
          <w:p w:rsidR="00F81EE9" w:rsidRPr="00BF7DD8" w:rsidRDefault="00F81EE9">
            <w:pPr>
              <w:pStyle w:val="NormalWeb"/>
              <w:spacing w:before="0" w:beforeAutospacing="0" w:after="0" w:afterAutospacing="0"/>
            </w:pPr>
            <w:r w:rsidRPr="00BF7DD8">
              <w:rPr>
                <w:sz w:val="20"/>
                <w:szCs w:val="20"/>
              </w:rPr>
              <w:t>RKDP</w:t>
            </w:r>
          </w:p>
        </w:tc>
        <w:tc>
          <w:tcPr>
            <w:tcW w:w="1668" w:type="dxa"/>
            <w:tcBorders>
              <w:top w:val="single" w:sz="4" w:space="0" w:color="000000"/>
              <w:bottom w:val="single" w:sz="4" w:space="0" w:color="000000"/>
            </w:tcBorders>
            <w:tcMar>
              <w:top w:w="0" w:type="dxa"/>
              <w:left w:w="108" w:type="dxa"/>
              <w:bottom w:w="0" w:type="dxa"/>
              <w:right w:w="108" w:type="dxa"/>
            </w:tcMar>
          </w:tcPr>
          <w:p w:rsidR="00F81EE9" w:rsidRPr="00BF7DD8" w:rsidRDefault="00F81EE9">
            <w:pPr>
              <w:pStyle w:val="NormalWeb"/>
              <w:spacing w:before="0" w:beforeAutospacing="0" w:after="0" w:afterAutospacing="0"/>
              <w:jc w:val="right"/>
            </w:pPr>
            <w:r w:rsidRPr="00BF7DD8">
              <w:rPr>
                <w:sz w:val="20"/>
                <w:szCs w:val="20"/>
              </w:rPr>
              <w:t> </w:t>
            </w:r>
          </w:p>
          <w:p w:rsidR="00F81EE9" w:rsidRPr="00BF7DD8" w:rsidRDefault="00F81EE9">
            <w:pPr>
              <w:pStyle w:val="NormalWeb"/>
              <w:spacing w:before="0" w:beforeAutospacing="0" w:after="0" w:afterAutospacing="0"/>
              <w:jc w:val="right"/>
            </w:pPr>
            <w:r w:rsidRPr="00BF7DD8">
              <w:rPr>
                <w:sz w:val="20"/>
                <w:szCs w:val="20"/>
              </w:rPr>
              <w:t>3</w:t>
            </w:r>
            <w:r w:rsidR="00164716" w:rsidRPr="00BF7DD8">
              <w:rPr>
                <w:sz w:val="20"/>
                <w:szCs w:val="20"/>
              </w:rPr>
              <w:t>3312</w:t>
            </w:r>
          </w:p>
        </w:tc>
      </w:tr>
      <w:tr w:rsidR="00F81EE9" w:rsidRPr="00BF7DD8">
        <w:tc>
          <w:tcPr>
            <w:tcW w:w="6600" w:type="dxa"/>
            <w:tcMar>
              <w:top w:w="0" w:type="dxa"/>
              <w:left w:w="108" w:type="dxa"/>
              <w:bottom w:w="0" w:type="dxa"/>
              <w:right w:w="108" w:type="dxa"/>
            </w:tcMar>
          </w:tcPr>
          <w:p w:rsidR="00F81EE9" w:rsidRPr="00BF7DD8" w:rsidRDefault="00F81EE9">
            <w:pPr>
              <w:pStyle w:val="NormalWeb"/>
              <w:spacing w:before="0" w:beforeAutospacing="0" w:after="0" w:afterAutospacing="0"/>
            </w:pPr>
            <w:r w:rsidRPr="00BF7DD8">
              <w:rPr>
                <w:bCs/>
                <w:sz w:val="20"/>
                <w:szCs w:val="20"/>
              </w:rPr>
              <w:t> </w:t>
            </w:r>
          </w:p>
          <w:p w:rsidR="00F81EE9" w:rsidRPr="00BF7DD8" w:rsidRDefault="00F81EE9" w:rsidP="00FD53EC">
            <w:pPr>
              <w:pStyle w:val="NormalWeb"/>
              <w:spacing w:before="0" w:beforeAutospacing="0" w:after="0" w:afterAutospacing="0"/>
            </w:pPr>
            <w:r w:rsidRPr="00BF7DD8">
              <w:rPr>
                <w:sz w:val="20"/>
                <w:szCs w:val="20"/>
              </w:rPr>
              <w:t>Zakon</w:t>
            </w:r>
            <w:r w:rsidR="00BF7DD8">
              <w:rPr>
                <w:sz w:val="20"/>
                <w:szCs w:val="20"/>
              </w:rPr>
              <w:t xml:space="preserve"> o</w:t>
            </w:r>
            <w:r w:rsidRPr="00BF7DD8">
              <w:rPr>
                <w:sz w:val="20"/>
                <w:szCs w:val="20"/>
              </w:rPr>
              <w:t xml:space="preserve"> proračunu (NN 87/08</w:t>
            </w:r>
            <w:r w:rsidR="00FD53EC">
              <w:rPr>
                <w:sz w:val="20"/>
                <w:szCs w:val="20"/>
              </w:rPr>
              <w:t>,136/12 i 15/15</w:t>
            </w:r>
            <w:r w:rsidRPr="00BF7DD8">
              <w:rPr>
                <w:sz w:val="20"/>
                <w:szCs w:val="20"/>
              </w:rPr>
              <w:t xml:space="preserve">) članak 108. stavak 1. točka </w:t>
            </w:r>
            <w:r w:rsidR="00DF079A">
              <w:rPr>
                <w:sz w:val="20"/>
                <w:szCs w:val="20"/>
              </w:rPr>
              <w:t>6</w:t>
            </w:r>
          </w:p>
        </w:tc>
        <w:tc>
          <w:tcPr>
            <w:tcW w:w="1440" w:type="dxa"/>
            <w:tcMar>
              <w:top w:w="0" w:type="dxa"/>
              <w:left w:w="108" w:type="dxa"/>
              <w:bottom w:w="0" w:type="dxa"/>
              <w:right w:w="108" w:type="dxa"/>
            </w:tcMar>
          </w:tcPr>
          <w:p w:rsidR="00F81EE9" w:rsidRPr="00BF7DD8" w:rsidRDefault="00F81EE9">
            <w:pPr>
              <w:pStyle w:val="NormalWeb"/>
              <w:spacing w:before="0" w:beforeAutospacing="0" w:after="0" w:afterAutospacing="0"/>
            </w:pPr>
            <w:r w:rsidRPr="00BF7DD8">
              <w:rPr>
                <w:sz w:val="20"/>
                <w:szCs w:val="20"/>
              </w:rPr>
              <w:t> </w:t>
            </w:r>
          </w:p>
          <w:p w:rsidR="00F81EE9" w:rsidRPr="00BF7DD8" w:rsidRDefault="00F81EE9">
            <w:pPr>
              <w:pStyle w:val="NormalWeb"/>
              <w:spacing w:before="0" w:beforeAutospacing="0" w:after="0" w:afterAutospacing="0"/>
            </w:pPr>
            <w:r w:rsidRPr="00BF7DD8">
              <w:rPr>
                <w:sz w:val="20"/>
                <w:szCs w:val="20"/>
              </w:rPr>
              <w:t>Matični broj</w:t>
            </w:r>
          </w:p>
          <w:p w:rsidR="00F81EE9" w:rsidRPr="00BF7DD8" w:rsidRDefault="00F81EE9">
            <w:pPr>
              <w:pStyle w:val="NormalWeb"/>
              <w:spacing w:before="0" w:beforeAutospacing="0" w:after="0" w:afterAutospacing="0"/>
            </w:pPr>
            <w:r w:rsidRPr="00BF7DD8">
              <w:rPr>
                <w:sz w:val="20"/>
                <w:szCs w:val="20"/>
              </w:rPr>
              <w:t>OIB</w:t>
            </w:r>
          </w:p>
        </w:tc>
        <w:tc>
          <w:tcPr>
            <w:tcW w:w="1668" w:type="dxa"/>
            <w:tcBorders>
              <w:top w:val="single" w:sz="4" w:space="0" w:color="000000"/>
              <w:bottom w:val="single" w:sz="4" w:space="0" w:color="000000"/>
            </w:tcBorders>
            <w:tcMar>
              <w:top w:w="0" w:type="dxa"/>
              <w:left w:w="108" w:type="dxa"/>
              <w:bottom w:w="0" w:type="dxa"/>
              <w:right w:w="108" w:type="dxa"/>
            </w:tcMar>
          </w:tcPr>
          <w:p w:rsidR="00F81EE9" w:rsidRPr="00BF7DD8" w:rsidRDefault="00F81EE9">
            <w:pPr>
              <w:pStyle w:val="NormalWeb"/>
              <w:spacing w:before="0" w:beforeAutospacing="0" w:after="0" w:afterAutospacing="0"/>
              <w:jc w:val="right"/>
            </w:pPr>
            <w:r w:rsidRPr="00BF7DD8">
              <w:rPr>
                <w:bCs/>
                <w:sz w:val="20"/>
                <w:szCs w:val="20"/>
              </w:rPr>
              <w:t> </w:t>
            </w:r>
          </w:p>
          <w:p w:rsidR="00F81EE9" w:rsidRPr="00BF7DD8" w:rsidRDefault="00F81EE9">
            <w:pPr>
              <w:pStyle w:val="NormalWeb"/>
              <w:spacing w:before="0" w:beforeAutospacing="0" w:after="0" w:afterAutospacing="0"/>
              <w:jc w:val="right"/>
            </w:pPr>
            <w:r w:rsidRPr="00BF7DD8">
              <w:rPr>
                <w:bCs/>
                <w:sz w:val="20"/>
                <w:szCs w:val="20"/>
              </w:rPr>
              <w:t>025</w:t>
            </w:r>
            <w:r w:rsidR="00164716" w:rsidRPr="00BF7DD8">
              <w:rPr>
                <w:bCs/>
                <w:sz w:val="20"/>
                <w:szCs w:val="20"/>
              </w:rPr>
              <w:t>42587</w:t>
            </w:r>
          </w:p>
          <w:p w:rsidR="00F81EE9" w:rsidRPr="00BF7DD8" w:rsidRDefault="00164716">
            <w:pPr>
              <w:pStyle w:val="NormalWeb"/>
              <w:spacing w:before="0" w:beforeAutospacing="0" w:after="0" w:afterAutospacing="0"/>
              <w:jc w:val="right"/>
            </w:pPr>
            <w:r w:rsidRPr="00BF7DD8">
              <w:rPr>
                <w:bCs/>
                <w:sz w:val="20"/>
                <w:szCs w:val="20"/>
              </w:rPr>
              <w:t>99677841113</w:t>
            </w:r>
          </w:p>
        </w:tc>
      </w:tr>
    </w:tbl>
    <w:p w:rsidR="00BF7DD8" w:rsidRDefault="00BF7DD8" w:rsidP="00F81EE9">
      <w:pPr>
        <w:pStyle w:val="NormalWeb"/>
        <w:spacing w:before="0" w:beforeAutospacing="0" w:after="0" w:afterAutospacing="0"/>
        <w:rPr>
          <w:b/>
        </w:rPr>
      </w:pPr>
    </w:p>
    <w:p w:rsidR="005C5899" w:rsidRDefault="00DF079A" w:rsidP="00DF079A">
      <w:pPr>
        <w:pStyle w:val="NormalWeb"/>
        <w:spacing w:before="0" w:beforeAutospacing="0" w:after="0" w:afterAutospacing="0"/>
        <w:jc w:val="center"/>
        <w:rPr>
          <w:b/>
          <w:sz w:val="26"/>
          <w:szCs w:val="26"/>
          <w:u w:val="single"/>
        </w:rPr>
      </w:pPr>
      <w:r w:rsidRPr="00DF079A">
        <w:rPr>
          <w:b/>
          <w:sz w:val="26"/>
          <w:szCs w:val="26"/>
          <w:u w:val="single"/>
        </w:rPr>
        <w:t xml:space="preserve">OBRAZLOŽENJE OSTVARENJA PRIHODA I PRIMITAKA, </w:t>
      </w:r>
    </w:p>
    <w:p w:rsidR="00DF079A" w:rsidRPr="00DF079A" w:rsidRDefault="00DF079A" w:rsidP="00DF079A">
      <w:pPr>
        <w:pStyle w:val="NormalWeb"/>
        <w:spacing w:before="0" w:beforeAutospacing="0" w:after="0" w:afterAutospacing="0"/>
        <w:jc w:val="center"/>
        <w:rPr>
          <w:b/>
          <w:sz w:val="26"/>
          <w:szCs w:val="26"/>
          <w:u w:val="single"/>
        </w:rPr>
      </w:pPr>
      <w:r w:rsidRPr="00DF079A">
        <w:rPr>
          <w:b/>
          <w:sz w:val="26"/>
          <w:szCs w:val="26"/>
          <w:u w:val="single"/>
        </w:rPr>
        <w:t>RASHODA I</w:t>
      </w:r>
      <w:r w:rsidR="005C5899">
        <w:rPr>
          <w:b/>
          <w:sz w:val="26"/>
          <w:szCs w:val="26"/>
          <w:u w:val="single"/>
        </w:rPr>
        <w:t xml:space="preserve"> I</w:t>
      </w:r>
      <w:r w:rsidRPr="00DF079A">
        <w:rPr>
          <w:b/>
          <w:sz w:val="26"/>
          <w:szCs w:val="26"/>
          <w:u w:val="single"/>
        </w:rPr>
        <w:t>ZDATAKA</w:t>
      </w:r>
    </w:p>
    <w:p w:rsidR="00E75C70" w:rsidRDefault="00DF079A" w:rsidP="00DF079A">
      <w:pPr>
        <w:pStyle w:val="NormalWeb"/>
        <w:spacing w:before="0" w:beforeAutospacing="0" w:after="0" w:afterAutospacing="0"/>
        <w:jc w:val="center"/>
        <w:rPr>
          <w:b/>
          <w:sz w:val="26"/>
          <w:szCs w:val="26"/>
          <w:u w:val="single"/>
        </w:rPr>
      </w:pPr>
      <w:r w:rsidRPr="00DF079A">
        <w:rPr>
          <w:b/>
          <w:sz w:val="26"/>
          <w:szCs w:val="26"/>
          <w:u w:val="single"/>
        </w:rPr>
        <w:t>ZA RAZDOBLJE 01.01.-3</w:t>
      </w:r>
      <w:r w:rsidR="00AE369F">
        <w:rPr>
          <w:b/>
          <w:sz w:val="26"/>
          <w:szCs w:val="26"/>
          <w:u w:val="single"/>
        </w:rPr>
        <w:t>1</w:t>
      </w:r>
      <w:r w:rsidRPr="00DF079A">
        <w:rPr>
          <w:b/>
          <w:sz w:val="26"/>
          <w:szCs w:val="26"/>
          <w:u w:val="single"/>
        </w:rPr>
        <w:t>.</w:t>
      </w:r>
      <w:r w:rsidR="00AE369F">
        <w:rPr>
          <w:b/>
          <w:sz w:val="26"/>
          <w:szCs w:val="26"/>
          <w:u w:val="single"/>
        </w:rPr>
        <w:t>12</w:t>
      </w:r>
      <w:r w:rsidRPr="00DF079A">
        <w:rPr>
          <w:b/>
          <w:sz w:val="26"/>
          <w:szCs w:val="26"/>
          <w:u w:val="single"/>
        </w:rPr>
        <w:t>.</w:t>
      </w:r>
      <w:r w:rsidR="00495077">
        <w:rPr>
          <w:b/>
          <w:sz w:val="26"/>
          <w:szCs w:val="26"/>
          <w:u w:val="single"/>
        </w:rPr>
        <w:t>201</w:t>
      </w:r>
      <w:r w:rsidR="004A7C7B">
        <w:rPr>
          <w:b/>
          <w:sz w:val="26"/>
          <w:szCs w:val="26"/>
          <w:u w:val="single"/>
        </w:rPr>
        <w:t>9</w:t>
      </w:r>
      <w:r w:rsidR="00FA46B6">
        <w:rPr>
          <w:b/>
          <w:sz w:val="26"/>
          <w:szCs w:val="26"/>
          <w:u w:val="single"/>
        </w:rPr>
        <w:t>.</w:t>
      </w:r>
    </w:p>
    <w:p w:rsidR="0031589A" w:rsidRDefault="0031589A" w:rsidP="00DF079A">
      <w:pPr>
        <w:pStyle w:val="NormalWeb"/>
        <w:spacing w:before="0" w:beforeAutospacing="0" w:after="0" w:afterAutospacing="0"/>
        <w:jc w:val="center"/>
        <w:rPr>
          <w:b/>
          <w:sz w:val="26"/>
          <w:szCs w:val="26"/>
          <w:u w:val="single"/>
        </w:rPr>
      </w:pPr>
    </w:p>
    <w:p w:rsidR="00CB614A" w:rsidRDefault="00A61F2D" w:rsidP="001B2725">
      <w:pPr>
        <w:pStyle w:val="NormalWeb"/>
        <w:spacing w:before="0" w:beforeAutospacing="0" w:after="0" w:afterAutospacing="0"/>
        <w:rPr>
          <w:sz w:val="26"/>
          <w:szCs w:val="26"/>
        </w:rPr>
      </w:pPr>
      <w:r>
        <w:rPr>
          <w:sz w:val="26"/>
          <w:szCs w:val="26"/>
        </w:rPr>
        <w:tab/>
      </w:r>
      <w:r w:rsidR="001B2725">
        <w:rPr>
          <w:sz w:val="26"/>
          <w:szCs w:val="26"/>
        </w:rPr>
        <w:t xml:space="preserve">Proračun Općine Orehovica za </w:t>
      </w:r>
      <w:r w:rsidR="00495077">
        <w:rPr>
          <w:sz w:val="26"/>
          <w:szCs w:val="26"/>
        </w:rPr>
        <w:t>201</w:t>
      </w:r>
      <w:r w:rsidR="004A7C7B">
        <w:rPr>
          <w:sz w:val="26"/>
          <w:szCs w:val="26"/>
        </w:rPr>
        <w:t>9</w:t>
      </w:r>
      <w:r w:rsidR="001B2725">
        <w:rPr>
          <w:sz w:val="26"/>
          <w:szCs w:val="26"/>
        </w:rPr>
        <w:t xml:space="preserve">. godinu usvojen je na </w:t>
      </w:r>
      <w:r w:rsidR="00820EB3">
        <w:rPr>
          <w:sz w:val="26"/>
          <w:szCs w:val="26"/>
        </w:rPr>
        <w:t>10</w:t>
      </w:r>
      <w:r w:rsidR="001B2725">
        <w:rPr>
          <w:sz w:val="26"/>
          <w:szCs w:val="26"/>
        </w:rPr>
        <w:t xml:space="preserve">. sjednici </w:t>
      </w:r>
      <w:r w:rsidR="00CB614A">
        <w:rPr>
          <w:sz w:val="26"/>
          <w:szCs w:val="26"/>
        </w:rPr>
        <w:t>V</w:t>
      </w:r>
      <w:r w:rsidR="001B2725">
        <w:rPr>
          <w:sz w:val="26"/>
          <w:szCs w:val="26"/>
        </w:rPr>
        <w:t xml:space="preserve">ijeća Općine Orehovica održanoj dana </w:t>
      </w:r>
      <w:r w:rsidR="00820EB3">
        <w:rPr>
          <w:sz w:val="26"/>
          <w:szCs w:val="26"/>
        </w:rPr>
        <w:t>29</w:t>
      </w:r>
      <w:r>
        <w:rPr>
          <w:sz w:val="26"/>
          <w:szCs w:val="26"/>
        </w:rPr>
        <w:t>.</w:t>
      </w:r>
      <w:r w:rsidR="00495077">
        <w:rPr>
          <w:sz w:val="26"/>
          <w:szCs w:val="26"/>
        </w:rPr>
        <w:t>11</w:t>
      </w:r>
      <w:r>
        <w:rPr>
          <w:sz w:val="26"/>
          <w:szCs w:val="26"/>
        </w:rPr>
        <w:t>.</w:t>
      </w:r>
      <w:r w:rsidR="003418E6">
        <w:rPr>
          <w:sz w:val="26"/>
          <w:szCs w:val="26"/>
        </w:rPr>
        <w:t>20</w:t>
      </w:r>
      <w:r w:rsidR="00495077">
        <w:rPr>
          <w:sz w:val="26"/>
          <w:szCs w:val="26"/>
        </w:rPr>
        <w:t>1</w:t>
      </w:r>
      <w:r w:rsidR="00820EB3">
        <w:rPr>
          <w:sz w:val="26"/>
          <w:szCs w:val="26"/>
        </w:rPr>
        <w:t>8</w:t>
      </w:r>
      <w:r>
        <w:rPr>
          <w:sz w:val="26"/>
          <w:szCs w:val="26"/>
        </w:rPr>
        <w:t xml:space="preserve"> godine.</w:t>
      </w:r>
      <w:r w:rsidR="00AE369F">
        <w:rPr>
          <w:sz w:val="26"/>
          <w:szCs w:val="26"/>
        </w:rPr>
        <w:t xml:space="preserve"> Nadalje, 1. Izmjene i dopune Proračuna Općine Orehovica, Općinsko vijeće Općine </w:t>
      </w:r>
      <w:r w:rsidR="00CB614A">
        <w:rPr>
          <w:sz w:val="26"/>
          <w:szCs w:val="26"/>
        </w:rPr>
        <w:t>O</w:t>
      </w:r>
      <w:r w:rsidR="00AE369F">
        <w:rPr>
          <w:sz w:val="26"/>
          <w:szCs w:val="26"/>
        </w:rPr>
        <w:t xml:space="preserve">rehovica donijelo je na </w:t>
      </w:r>
      <w:r w:rsidR="00820EB3">
        <w:rPr>
          <w:sz w:val="26"/>
          <w:szCs w:val="26"/>
        </w:rPr>
        <w:t>15</w:t>
      </w:r>
      <w:r w:rsidR="003418E6">
        <w:rPr>
          <w:sz w:val="26"/>
          <w:szCs w:val="26"/>
        </w:rPr>
        <w:t xml:space="preserve">. </w:t>
      </w:r>
      <w:r w:rsidR="00AE369F">
        <w:rPr>
          <w:sz w:val="26"/>
          <w:szCs w:val="26"/>
        </w:rPr>
        <w:t xml:space="preserve">sjednici Općinskog vijeća Općine Orehovica dana </w:t>
      </w:r>
      <w:r w:rsidR="00820EB3">
        <w:rPr>
          <w:sz w:val="26"/>
          <w:szCs w:val="26"/>
        </w:rPr>
        <w:t>30</w:t>
      </w:r>
      <w:r w:rsidR="00AE369F">
        <w:rPr>
          <w:sz w:val="26"/>
          <w:szCs w:val="26"/>
        </w:rPr>
        <w:t>.</w:t>
      </w:r>
      <w:r w:rsidR="00495077">
        <w:rPr>
          <w:sz w:val="26"/>
          <w:szCs w:val="26"/>
        </w:rPr>
        <w:t>0</w:t>
      </w:r>
      <w:r w:rsidR="00820EB3">
        <w:rPr>
          <w:sz w:val="26"/>
          <w:szCs w:val="26"/>
        </w:rPr>
        <w:t>9</w:t>
      </w:r>
      <w:r w:rsidR="00AE369F">
        <w:rPr>
          <w:sz w:val="26"/>
          <w:szCs w:val="26"/>
        </w:rPr>
        <w:t>.</w:t>
      </w:r>
      <w:r w:rsidR="00495077">
        <w:rPr>
          <w:sz w:val="26"/>
          <w:szCs w:val="26"/>
        </w:rPr>
        <w:t>201</w:t>
      </w:r>
      <w:r w:rsidR="00820EB3">
        <w:rPr>
          <w:sz w:val="26"/>
          <w:szCs w:val="26"/>
        </w:rPr>
        <w:t>9</w:t>
      </w:r>
      <w:r w:rsidR="00AE369F">
        <w:rPr>
          <w:sz w:val="26"/>
          <w:szCs w:val="26"/>
        </w:rPr>
        <w:t xml:space="preserve">. </w:t>
      </w:r>
      <w:r w:rsidR="004313BC">
        <w:rPr>
          <w:sz w:val="26"/>
          <w:szCs w:val="26"/>
        </w:rPr>
        <w:t xml:space="preserve">godine. </w:t>
      </w:r>
      <w:r w:rsidR="00495077">
        <w:rPr>
          <w:sz w:val="26"/>
          <w:szCs w:val="26"/>
        </w:rPr>
        <w:t xml:space="preserve">Druge izmjene i dopune Proračuna Općine Orehovica Općinsko Vijeće Općine Orehovica donijelo je dana </w:t>
      </w:r>
      <w:r w:rsidR="00820EB3">
        <w:rPr>
          <w:sz w:val="26"/>
          <w:szCs w:val="26"/>
        </w:rPr>
        <w:t>18</w:t>
      </w:r>
      <w:r w:rsidR="00495077">
        <w:rPr>
          <w:sz w:val="26"/>
          <w:szCs w:val="26"/>
        </w:rPr>
        <w:t>.12.201</w:t>
      </w:r>
      <w:r w:rsidR="00820EB3">
        <w:rPr>
          <w:sz w:val="26"/>
          <w:szCs w:val="26"/>
        </w:rPr>
        <w:t>9</w:t>
      </w:r>
      <w:r w:rsidR="00495077">
        <w:rPr>
          <w:sz w:val="26"/>
          <w:szCs w:val="26"/>
        </w:rPr>
        <w:t>. godine na svojoj 1</w:t>
      </w:r>
      <w:r w:rsidR="00B77DE2">
        <w:rPr>
          <w:sz w:val="26"/>
          <w:szCs w:val="26"/>
        </w:rPr>
        <w:t>7</w:t>
      </w:r>
      <w:r w:rsidR="00495077">
        <w:rPr>
          <w:sz w:val="26"/>
          <w:szCs w:val="26"/>
        </w:rPr>
        <w:t>. sjednici.</w:t>
      </w:r>
    </w:p>
    <w:p w:rsidR="0031589A" w:rsidRDefault="00A61F2D" w:rsidP="00D04832">
      <w:pPr>
        <w:pStyle w:val="NormalWeb"/>
        <w:spacing w:before="0" w:beforeAutospacing="0" w:after="0" w:afterAutospacing="0"/>
        <w:rPr>
          <w:b/>
          <w:sz w:val="26"/>
          <w:szCs w:val="26"/>
          <w:u w:val="single"/>
        </w:rPr>
      </w:pPr>
      <w:r>
        <w:rPr>
          <w:sz w:val="26"/>
          <w:szCs w:val="26"/>
        </w:rPr>
        <w:t>Ti</w:t>
      </w:r>
      <w:r w:rsidR="00845DB7">
        <w:rPr>
          <w:sz w:val="26"/>
          <w:szCs w:val="26"/>
        </w:rPr>
        <w:t>m</w:t>
      </w:r>
      <w:r>
        <w:rPr>
          <w:sz w:val="26"/>
          <w:szCs w:val="26"/>
        </w:rPr>
        <w:t xml:space="preserve"> </w:t>
      </w:r>
      <w:r w:rsidR="00AE369F">
        <w:rPr>
          <w:sz w:val="26"/>
          <w:szCs w:val="26"/>
        </w:rPr>
        <w:t>izmjenama i dopunama proračuna Općine Orehovica p</w:t>
      </w:r>
      <w:r>
        <w:rPr>
          <w:sz w:val="26"/>
          <w:szCs w:val="26"/>
        </w:rPr>
        <w:t xml:space="preserve">lanirani su ukupni prihodi i primitci u iznosu od </w:t>
      </w:r>
      <w:r w:rsidR="003D00FD">
        <w:rPr>
          <w:sz w:val="26"/>
          <w:szCs w:val="26"/>
        </w:rPr>
        <w:t>7</w:t>
      </w:r>
      <w:r>
        <w:rPr>
          <w:sz w:val="26"/>
          <w:szCs w:val="26"/>
        </w:rPr>
        <w:t>.</w:t>
      </w:r>
      <w:r w:rsidR="003D00FD">
        <w:rPr>
          <w:sz w:val="26"/>
          <w:szCs w:val="26"/>
        </w:rPr>
        <w:t>7</w:t>
      </w:r>
      <w:r w:rsidR="00B77DE2">
        <w:rPr>
          <w:sz w:val="26"/>
          <w:szCs w:val="26"/>
        </w:rPr>
        <w:t>52</w:t>
      </w:r>
      <w:r>
        <w:rPr>
          <w:sz w:val="26"/>
          <w:szCs w:val="26"/>
        </w:rPr>
        <w:t>.</w:t>
      </w:r>
      <w:r w:rsidR="00B77DE2">
        <w:rPr>
          <w:sz w:val="26"/>
          <w:szCs w:val="26"/>
        </w:rPr>
        <w:t>669</w:t>
      </w:r>
      <w:r>
        <w:rPr>
          <w:sz w:val="26"/>
          <w:szCs w:val="26"/>
        </w:rPr>
        <w:t>,</w:t>
      </w:r>
      <w:r w:rsidR="00C5347A">
        <w:rPr>
          <w:sz w:val="26"/>
          <w:szCs w:val="26"/>
        </w:rPr>
        <w:t>00</w:t>
      </w:r>
      <w:r>
        <w:rPr>
          <w:sz w:val="26"/>
          <w:szCs w:val="26"/>
        </w:rPr>
        <w:t xml:space="preserve"> kuna, te </w:t>
      </w:r>
      <w:r w:rsidR="0060506E">
        <w:rPr>
          <w:sz w:val="26"/>
          <w:szCs w:val="26"/>
        </w:rPr>
        <w:t xml:space="preserve"> ukupni rashodi i izdaci u iznosu od </w:t>
      </w:r>
      <w:r w:rsidR="00B77DE2">
        <w:rPr>
          <w:sz w:val="26"/>
          <w:szCs w:val="26"/>
        </w:rPr>
        <w:t>8</w:t>
      </w:r>
      <w:r w:rsidR="0060506E">
        <w:rPr>
          <w:sz w:val="26"/>
          <w:szCs w:val="26"/>
        </w:rPr>
        <w:t>.</w:t>
      </w:r>
      <w:r w:rsidR="00B77DE2">
        <w:rPr>
          <w:sz w:val="26"/>
          <w:szCs w:val="26"/>
        </w:rPr>
        <w:t>743</w:t>
      </w:r>
      <w:r w:rsidR="0060506E">
        <w:rPr>
          <w:sz w:val="26"/>
          <w:szCs w:val="26"/>
        </w:rPr>
        <w:t>.</w:t>
      </w:r>
      <w:r w:rsidR="00B77DE2">
        <w:rPr>
          <w:sz w:val="26"/>
          <w:szCs w:val="26"/>
        </w:rPr>
        <w:t>475</w:t>
      </w:r>
      <w:r w:rsidR="00FA46B6">
        <w:rPr>
          <w:sz w:val="26"/>
          <w:szCs w:val="26"/>
        </w:rPr>
        <w:t>,</w:t>
      </w:r>
      <w:r w:rsidR="00C5347A">
        <w:rPr>
          <w:sz w:val="26"/>
          <w:szCs w:val="26"/>
        </w:rPr>
        <w:t>00</w:t>
      </w:r>
      <w:r w:rsidR="0060506E">
        <w:rPr>
          <w:sz w:val="26"/>
          <w:szCs w:val="26"/>
        </w:rPr>
        <w:t xml:space="preserve"> kn. Razlika </w:t>
      </w:r>
      <w:r w:rsidR="00C5347A">
        <w:rPr>
          <w:sz w:val="26"/>
          <w:szCs w:val="26"/>
        </w:rPr>
        <w:t xml:space="preserve">manjka </w:t>
      </w:r>
      <w:r w:rsidR="0060506E">
        <w:rPr>
          <w:sz w:val="26"/>
          <w:szCs w:val="26"/>
        </w:rPr>
        <w:t xml:space="preserve">prihoda planirana je </w:t>
      </w:r>
      <w:r w:rsidR="00C5347A">
        <w:rPr>
          <w:sz w:val="26"/>
          <w:szCs w:val="26"/>
        </w:rPr>
        <w:t>pokri</w:t>
      </w:r>
      <w:r w:rsidR="00B77DE2">
        <w:rPr>
          <w:sz w:val="26"/>
          <w:szCs w:val="26"/>
        </w:rPr>
        <w:t xml:space="preserve">ti se iz </w:t>
      </w:r>
      <w:r w:rsidR="00C5347A">
        <w:rPr>
          <w:sz w:val="26"/>
          <w:szCs w:val="26"/>
        </w:rPr>
        <w:t>viška</w:t>
      </w:r>
      <w:r w:rsidR="0060506E">
        <w:rPr>
          <w:sz w:val="26"/>
          <w:szCs w:val="26"/>
        </w:rPr>
        <w:t xml:space="preserve"> prihoda iz prethodnih godina u iznosu od </w:t>
      </w:r>
      <w:r w:rsidR="001A1D73">
        <w:rPr>
          <w:sz w:val="26"/>
          <w:szCs w:val="26"/>
        </w:rPr>
        <w:t xml:space="preserve"> </w:t>
      </w:r>
      <w:r w:rsidR="00B77DE2">
        <w:rPr>
          <w:sz w:val="26"/>
          <w:szCs w:val="26"/>
        </w:rPr>
        <w:t>990.806,00</w:t>
      </w:r>
      <w:r w:rsidR="003D00FD">
        <w:rPr>
          <w:sz w:val="26"/>
          <w:szCs w:val="26"/>
        </w:rPr>
        <w:t xml:space="preserve"> kn</w:t>
      </w:r>
    </w:p>
    <w:tbl>
      <w:tblPr>
        <w:tblW w:w="11160" w:type="dxa"/>
        <w:tblInd w:w="93" w:type="dxa"/>
        <w:tblLook w:val="04A0" w:firstRow="1" w:lastRow="0" w:firstColumn="1" w:lastColumn="0" w:noHBand="0" w:noVBand="1"/>
      </w:tblPr>
      <w:tblGrid>
        <w:gridCol w:w="15"/>
        <w:gridCol w:w="2045"/>
        <w:gridCol w:w="15"/>
        <w:gridCol w:w="1945"/>
        <w:gridCol w:w="15"/>
        <w:gridCol w:w="1325"/>
        <w:gridCol w:w="95"/>
        <w:gridCol w:w="1325"/>
        <w:gridCol w:w="95"/>
        <w:gridCol w:w="1345"/>
        <w:gridCol w:w="95"/>
        <w:gridCol w:w="1305"/>
        <w:gridCol w:w="95"/>
        <w:gridCol w:w="1445"/>
      </w:tblGrid>
      <w:tr w:rsidR="00237A85" w:rsidRPr="00D04832" w:rsidTr="00B77DE2">
        <w:tc>
          <w:tcPr>
            <w:tcW w:w="11160" w:type="dxa"/>
            <w:gridSpan w:val="14"/>
            <w:tcBorders>
              <w:top w:val="nil"/>
              <w:left w:val="nil"/>
              <w:right w:val="nil"/>
            </w:tcBorders>
            <w:shd w:val="clear" w:color="auto" w:fill="auto"/>
            <w:noWrap/>
          </w:tcPr>
          <w:p w:rsidR="00237A85" w:rsidRPr="00D04832" w:rsidRDefault="00237A85" w:rsidP="001F7683"/>
        </w:tc>
      </w:tr>
      <w:tr w:rsidR="003D00FD" w:rsidTr="00B77DE2">
        <w:trPr>
          <w:gridAfter w:val="2"/>
          <w:wAfter w:w="1540" w:type="dxa"/>
          <w:trHeight w:val="735"/>
        </w:trPr>
        <w:tc>
          <w:tcPr>
            <w:tcW w:w="4020" w:type="dxa"/>
            <w:gridSpan w:val="4"/>
            <w:tcBorders>
              <w:top w:val="nil"/>
              <w:left w:val="nil"/>
              <w:bottom w:val="nil"/>
              <w:right w:val="nil"/>
            </w:tcBorders>
            <w:shd w:val="clear" w:color="auto" w:fill="auto"/>
            <w:noWrap/>
            <w:vAlign w:val="bottom"/>
            <w:hideMark/>
          </w:tcPr>
          <w:p w:rsidR="003D00FD" w:rsidRDefault="003D00FD">
            <w:pPr>
              <w:jc w:val="center"/>
              <w:rPr>
                <w:b/>
                <w:bCs/>
                <w:sz w:val="30"/>
                <w:szCs w:val="30"/>
              </w:rPr>
            </w:pPr>
            <w:r>
              <w:rPr>
                <w:b/>
                <w:bCs/>
                <w:sz w:val="30"/>
                <w:szCs w:val="30"/>
              </w:rPr>
              <w:t>I PRIHODI/PRIMICI</w:t>
            </w:r>
          </w:p>
        </w:tc>
        <w:tc>
          <w:tcPr>
            <w:tcW w:w="1340" w:type="dxa"/>
            <w:gridSpan w:val="2"/>
            <w:tcBorders>
              <w:top w:val="nil"/>
              <w:left w:val="nil"/>
              <w:bottom w:val="nil"/>
              <w:right w:val="nil"/>
            </w:tcBorders>
            <w:shd w:val="clear" w:color="auto" w:fill="auto"/>
            <w:noWrap/>
            <w:vAlign w:val="bottom"/>
            <w:hideMark/>
          </w:tcPr>
          <w:p w:rsidR="003D00FD" w:rsidRDefault="003D00FD"/>
        </w:tc>
        <w:tc>
          <w:tcPr>
            <w:tcW w:w="1420" w:type="dxa"/>
            <w:gridSpan w:val="2"/>
            <w:tcBorders>
              <w:top w:val="nil"/>
              <w:left w:val="nil"/>
              <w:bottom w:val="nil"/>
              <w:right w:val="nil"/>
            </w:tcBorders>
            <w:shd w:val="clear" w:color="auto" w:fill="auto"/>
            <w:noWrap/>
            <w:vAlign w:val="bottom"/>
            <w:hideMark/>
          </w:tcPr>
          <w:p w:rsidR="003D00FD" w:rsidRDefault="003D00FD"/>
        </w:tc>
        <w:tc>
          <w:tcPr>
            <w:tcW w:w="1440" w:type="dxa"/>
            <w:gridSpan w:val="2"/>
            <w:tcBorders>
              <w:top w:val="nil"/>
              <w:left w:val="nil"/>
              <w:bottom w:val="nil"/>
              <w:right w:val="nil"/>
            </w:tcBorders>
            <w:shd w:val="clear" w:color="auto" w:fill="auto"/>
            <w:noWrap/>
            <w:vAlign w:val="bottom"/>
            <w:hideMark/>
          </w:tcPr>
          <w:p w:rsidR="003D00FD" w:rsidRDefault="003D00FD"/>
        </w:tc>
        <w:tc>
          <w:tcPr>
            <w:tcW w:w="1400" w:type="dxa"/>
            <w:gridSpan w:val="2"/>
            <w:tcBorders>
              <w:top w:val="nil"/>
              <w:left w:val="nil"/>
              <w:bottom w:val="nil"/>
              <w:right w:val="nil"/>
            </w:tcBorders>
            <w:shd w:val="clear" w:color="auto" w:fill="auto"/>
            <w:noWrap/>
            <w:vAlign w:val="bottom"/>
            <w:hideMark/>
          </w:tcPr>
          <w:p w:rsidR="003D00FD" w:rsidRDefault="003D00FD"/>
        </w:tc>
      </w:tr>
      <w:tr w:rsidR="003D00FD" w:rsidTr="00B77DE2">
        <w:trPr>
          <w:gridAfter w:val="2"/>
          <w:wAfter w:w="1540" w:type="dxa"/>
          <w:trHeight w:val="45"/>
        </w:trPr>
        <w:tc>
          <w:tcPr>
            <w:tcW w:w="2060" w:type="dxa"/>
            <w:gridSpan w:val="2"/>
            <w:tcBorders>
              <w:top w:val="nil"/>
              <w:left w:val="nil"/>
              <w:bottom w:val="nil"/>
              <w:right w:val="nil"/>
            </w:tcBorders>
            <w:shd w:val="clear" w:color="auto" w:fill="auto"/>
            <w:noWrap/>
            <w:vAlign w:val="bottom"/>
            <w:hideMark/>
          </w:tcPr>
          <w:p w:rsidR="003D00FD" w:rsidRDefault="003D00FD">
            <w:pPr>
              <w:rPr>
                <w:b/>
                <w:bCs/>
                <w:sz w:val="26"/>
                <w:szCs w:val="26"/>
              </w:rPr>
            </w:pPr>
          </w:p>
        </w:tc>
        <w:tc>
          <w:tcPr>
            <w:tcW w:w="1960" w:type="dxa"/>
            <w:gridSpan w:val="2"/>
            <w:tcBorders>
              <w:top w:val="nil"/>
              <w:left w:val="nil"/>
              <w:bottom w:val="nil"/>
              <w:right w:val="nil"/>
            </w:tcBorders>
            <w:shd w:val="clear" w:color="auto" w:fill="auto"/>
            <w:noWrap/>
            <w:vAlign w:val="bottom"/>
            <w:hideMark/>
          </w:tcPr>
          <w:p w:rsidR="003D00FD" w:rsidRDefault="003D00FD"/>
        </w:tc>
        <w:tc>
          <w:tcPr>
            <w:tcW w:w="1340" w:type="dxa"/>
            <w:gridSpan w:val="2"/>
            <w:tcBorders>
              <w:top w:val="nil"/>
              <w:left w:val="nil"/>
              <w:bottom w:val="nil"/>
              <w:right w:val="nil"/>
            </w:tcBorders>
            <w:shd w:val="clear" w:color="auto" w:fill="auto"/>
            <w:noWrap/>
            <w:vAlign w:val="bottom"/>
            <w:hideMark/>
          </w:tcPr>
          <w:p w:rsidR="003D00FD" w:rsidRDefault="003D00FD"/>
        </w:tc>
        <w:tc>
          <w:tcPr>
            <w:tcW w:w="1420" w:type="dxa"/>
            <w:gridSpan w:val="2"/>
            <w:tcBorders>
              <w:top w:val="nil"/>
              <w:left w:val="nil"/>
              <w:bottom w:val="nil"/>
              <w:right w:val="nil"/>
            </w:tcBorders>
            <w:shd w:val="clear" w:color="auto" w:fill="auto"/>
            <w:noWrap/>
            <w:vAlign w:val="bottom"/>
            <w:hideMark/>
          </w:tcPr>
          <w:p w:rsidR="003D00FD" w:rsidRDefault="003D00FD"/>
        </w:tc>
        <w:tc>
          <w:tcPr>
            <w:tcW w:w="1440" w:type="dxa"/>
            <w:gridSpan w:val="2"/>
            <w:tcBorders>
              <w:top w:val="nil"/>
              <w:left w:val="nil"/>
              <w:bottom w:val="nil"/>
              <w:right w:val="nil"/>
            </w:tcBorders>
            <w:shd w:val="clear" w:color="auto" w:fill="auto"/>
            <w:noWrap/>
            <w:vAlign w:val="bottom"/>
            <w:hideMark/>
          </w:tcPr>
          <w:p w:rsidR="003D00FD" w:rsidRDefault="003D00FD"/>
        </w:tc>
        <w:tc>
          <w:tcPr>
            <w:tcW w:w="1400" w:type="dxa"/>
            <w:gridSpan w:val="2"/>
            <w:tcBorders>
              <w:top w:val="nil"/>
              <w:left w:val="nil"/>
              <w:bottom w:val="nil"/>
              <w:right w:val="nil"/>
            </w:tcBorders>
            <w:shd w:val="clear" w:color="auto" w:fill="auto"/>
            <w:noWrap/>
            <w:vAlign w:val="bottom"/>
            <w:hideMark/>
          </w:tcPr>
          <w:p w:rsidR="003D00FD" w:rsidRDefault="003D00FD"/>
        </w:tc>
      </w:tr>
      <w:tr w:rsidR="003D00FD" w:rsidTr="00B77DE2">
        <w:trPr>
          <w:gridAfter w:val="2"/>
          <w:wAfter w:w="1540" w:type="dxa"/>
          <w:trHeight w:val="45"/>
        </w:trPr>
        <w:tc>
          <w:tcPr>
            <w:tcW w:w="2060" w:type="dxa"/>
            <w:gridSpan w:val="2"/>
            <w:tcBorders>
              <w:top w:val="nil"/>
              <w:left w:val="nil"/>
              <w:bottom w:val="nil"/>
              <w:right w:val="nil"/>
            </w:tcBorders>
            <w:shd w:val="clear" w:color="auto" w:fill="auto"/>
            <w:noWrap/>
            <w:vAlign w:val="bottom"/>
            <w:hideMark/>
          </w:tcPr>
          <w:p w:rsidR="003D00FD" w:rsidRDefault="003D00FD">
            <w:pPr>
              <w:rPr>
                <w:b/>
                <w:bCs/>
                <w:sz w:val="26"/>
                <w:szCs w:val="26"/>
              </w:rPr>
            </w:pPr>
          </w:p>
        </w:tc>
        <w:tc>
          <w:tcPr>
            <w:tcW w:w="1960" w:type="dxa"/>
            <w:gridSpan w:val="2"/>
            <w:tcBorders>
              <w:top w:val="nil"/>
              <w:left w:val="nil"/>
              <w:bottom w:val="nil"/>
              <w:right w:val="nil"/>
            </w:tcBorders>
            <w:shd w:val="clear" w:color="auto" w:fill="auto"/>
            <w:noWrap/>
            <w:vAlign w:val="bottom"/>
            <w:hideMark/>
          </w:tcPr>
          <w:p w:rsidR="003D00FD" w:rsidRDefault="003D00FD"/>
        </w:tc>
        <w:tc>
          <w:tcPr>
            <w:tcW w:w="1340" w:type="dxa"/>
            <w:gridSpan w:val="2"/>
            <w:tcBorders>
              <w:top w:val="nil"/>
              <w:left w:val="nil"/>
              <w:bottom w:val="nil"/>
              <w:right w:val="nil"/>
            </w:tcBorders>
            <w:shd w:val="clear" w:color="auto" w:fill="auto"/>
            <w:noWrap/>
            <w:vAlign w:val="bottom"/>
            <w:hideMark/>
          </w:tcPr>
          <w:p w:rsidR="003D00FD" w:rsidRDefault="003D00FD"/>
        </w:tc>
        <w:tc>
          <w:tcPr>
            <w:tcW w:w="1420" w:type="dxa"/>
            <w:gridSpan w:val="2"/>
            <w:tcBorders>
              <w:top w:val="nil"/>
              <w:left w:val="nil"/>
              <w:bottom w:val="nil"/>
              <w:right w:val="nil"/>
            </w:tcBorders>
            <w:shd w:val="clear" w:color="auto" w:fill="auto"/>
            <w:noWrap/>
            <w:vAlign w:val="bottom"/>
            <w:hideMark/>
          </w:tcPr>
          <w:p w:rsidR="003D00FD" w:rsidRDefault="003D00FD"/>
        </w:tc>
        <w:tc>
          <w:tcPr>
            <w:tcW w:w="1440" w:type="dxa"/>
            <w:gridSpan w:val="2"/>
            <w:tcBorders>
              <w:top w:val="nil"/>
              <w:left w:val="nil"/>
              <w:bottom w:val="nil"/>
              <w:right w:val="nil"/>
            </w:tcBorders>
            <w:shd w:val="clear" w:color="auto" w:fill="auto"/>
            <w:noWrap/>
            <w:vAlign w:val="bottom"/>
            <w:hideMark/>
          </w:tcPr>
          <w:p w:rsidR="003D00FD" w:rsidRDefault="003D00FD"/>
        </w:tc>
        <w:tc>
          <w:tcPr>
            <w:tcW w:w="1400" w:type="dxa"/>
            <w:gridSpan w:val="2"/>
            <w:tcBorders>
              <w:top w:val="nil"/>
              <w:left w:val="nil"/>
              <w:bottom w:val="nil"/>
              <w:right w:val="nil"/>
            </w:tcBorders>
            <w:shd w:val="clear" w:color="auto" w:fill="auto"/>
            <w:noWrap/>
            <w:vAlign w:val="bottom"/>
            <w:hideMark/>
          </w:tcPr>
          <w:p w:rsidR="003D00FD" w:rsidRDefault="003D00FD"/>
        </w:tc>
      </w:tr>
      <w:tr w:rsidR="00B77DE2" w:rsidTr="00B77DE2">
        <w:trPr>
          <w:gridBefore w:val="1"/>
          <w:gridAfter w:val="1"/>
          <w:wBefore w:w="15" w:type="dxa"/>
          <w:wAfter w:w="1445" w:type="dxa"/>
          <w:trHeight w:val="1215"/>
        </w:trPr>
        <w:tc>
          <w:tcPr>
            <w:tcW w:w="9700" w:type="dxa"/>
            <w:gridSpan w:val="12"/>
            <w:tcBorders>
              <w:top w:val="nil"/>
              <w:left w:val="nil"/>
              <w:bottom w:val="nil"/>
              <w:right w:val="nil"/>
            </w:tcBorders>
            <w:shd w:val="clear" w:color="auto" w:fill="auto"/>
            <w:vAlign w:val="bottom"/>
            <w:hideMark/>
          </w:tcPr>
          <w:p w:rsidR="00B77DE2" w:rsidRDefault="00B77DE2">
            <w:r>
              <w:t>U obračunskom razdoblju I-XII mjesec 2019 godine ostvareni su ukupni prihodi/primici u iznosu od 7.916.462,61 kn  što je 102,00%  ostvarenja godišnjeg plana, odnosno 92,2% ostvarenja promatranog obračunskog razdoblja u 2018. godini</w:t>
            </w:r>
          </w:p>
        </w:tc>
      </w:tr>
      <w:tr w:rsidR="00B77DE2" w:rsidTr="00B77DE2">
        <w:trPr>
          <w:gridBefore w:val="1"/>
          <w:gridAfter w:val="1"/>
          <w:wBefore w:w="15" w:type="dxa"/>
          <w:wAfter w:w="1445" w:type="dxa"/>
          <w:trHeight w:val="2730"/>
        </w:trPr>
        <w:tc>
          <w:tcPr>
            <w:tcW w:w="9700" w:type="dxa"/>
            <w:gridSpan w:val="12"/>
            <w:tcBorders>
              <w:top w:val="nil"/>
              <w:left w:val="nil"/>
              <w:bottom w:val="nil"/>
              <w:right w:val="nil"/>
            </w:tcBorders>
            <w:shd w:val="clear" w:color="auto" w:fill="auto"/>
            <w:vAlign w:val="bottom"/>
            <w:hideMark/>
          </w:tcPr>
          <w:p w:rsidR="00B77DE2" w:rsidRDefault="00B77DE2">
            <w:r>
              <w:t>U istom proračunskom razdoblju 2018. godine Općina je od poreza na dohodak nakon izvršenog povrata istoga prihodovala 4.667.513,00 kune, dok je u 2019 prihodovala  5.050.299,00 kn. Povrat poreza prema izvještaju FINE evidentiran je u iznosu od 162.978,00 kn. Donošenjem novog Zakona o financiranju jedinica lokalne i područne (regionalne) samouprave udio fiskalnog izravnanja uvelike je povećao ukupne porezne prihode, te omogućio Općini Orehovica lakše poslovanje i planiranje proračunskih aktivnosti i samog poslovanja općine. To je djelomično rezultiralo i povećanjem ulaganja u nabavu nefinancijske imovine u ukupnom iznosu od 4.165.364,00 kn. što je za 1.337.047,00 kn veće nego u istom razdoblju prošle godine (za 47,3%).</w:t>
            </w:r>
          </w:p>
        </w:tc>
      </w:tr>
      <w:tr w:rsidR="00B77DE2" w:rsidTr="00B77DE2">
        <w:trPr>
          <w:gridBefore w:val="1"/>
          <w:gridAfter w:val="1"/>
          <w:wBefore w:w="15" w:type="dxa"/>
          <w:wAfter w:w="1445" w:type="dxa"/>
          <w:trHeight w:val="975"/>
        </w:trPr>
        <w:tc>
          <w:tcPr>
            <w:tcW w:w="9700" w:type="dxa"/>
            <w:gridSpan w:val="12"/>
            <w:tcBorders>
              <w:top w:val="nil"/>
              <w:left w:val="nil"/>
              <w:bottom w:val="nil"/>
              <w:right w:val="nil"/>
            </w:tcBorders>
            <w:shd w:val="clear" w:color="auto" w:fill="auto"/>
            <w:vAlign w:val="bottom"/>
            <w:hideMark/>
          </w:tcPr>
          <w:p w:rsidR="00B77DE2" w:rsidRDefault="00B77DE2">
            <w:r>
              <w:t>U odnosu na isto obračunsko razdoblje prošle godine ostvareni  prihodi poslovanja iznosili su 7.903.312,00 kn i  manji su za 60.947,00kn, tj manji su za 0,8%.</w:t>
            </w:r>
          </w:p>
        </w:tc>
      </w:tr>
      <w:tr w:rsidR="00B77DE2" w:rsidTr="00B77DE2">
        <w:trPr>
          <w:gridBefore w:val="1"/>
          <w:gridAfter w:val="1"/>
          <w:wBefore w:w="15" w:type="dxa"/>
          <w:wAfter w:w="1445" w:type="dxa"/>
          <w:trHeight w:val="3660"/>
        </w:trPr>
        <w:tc>
          <w:tcPr>
            <w:tcW w:w="9700" w:type="dxa"/>
            <w:gridSpan w:val="12"/>
            <w:tcBorders>
              <w:top w:val="nil"/>
              <w:left w:val="nil"/>
              <w:bottom w:val="nil"/>
              <w:right w:val="nil"/>
            </w:tcBorders>
            <w:shd w:val="clear" w:color="auto" w:fill="auto"/>
            <w:vAlign w:val="bottom"/>
            <w:hideMark/>
          </w:tcPr>
          <w:p w:rsidR="00B77DE2" w:rsidRDefault="00B77DE2">
            <w:r>
              <w:lastRenderedPageBreak/>
              <w:t>U istom razdoblju 2018. godine općina je prihodovala  pomoći iz proračuna u iznosu od 1.598.280.00 kn, dok je u 2019 godini prihodovala 1.318.625,00 kuna. Navedeno se odnosi na  iznos tekuće pomoći iz državnog proračuna u iznosu od 7.750,00 kn za predškolu, tekuće pomoći iz županijskog proračuna u iznosu od 159.600,00 kuna namijenjen je za financiranje pomoći za drva. Nadalje, Ministarstvo regionalnog razvoja je projekt "Jezerčica" sufinanciralo iznosom od 103.275,00 kn projekt izgradnje zaobilaznice u Podbrestu u iznosu od 500.000,00 kn, igralište u romskom naselju u iznosu od 250.000,00 kn. Ministarstvo graditeljstva sufinanciralo je projekt oborinske odvodnje i rasvjete spojne ceste u iznosu od 248.000,00 kn.  Međimurska županija je sufinancirala i izvođenje radova na izgradnji nadstrešnice na mjesnom groblju u Podbrestu u iznosu od 50.000,00 kn.  Sva dobivena sredstva utrošena su namjenski, te će u propisanim rokovima biti izrađena izvješća o trošenju navedenih namjenskih sredstava.</w:t>
            </w:r>
          </w:p>
        </w:tc>
      </w:tr>
      <w:tr w:rsidR="00B77DE2" w:rsidTr="00B77DE2">
        <w:trPr>
          <w:gridBefore w:val="1"/>
          <w:gridAfter w:val="1"/>
          <w:wBefore w:w="15" w:type="dxa"/>
          <w:wAfter w:w="1445" w:type="dxa"/>
          <w:trHeight w:val="1170"/>
        </w:trPr>
        <w:tc>
          <w:tcPr>
            <w:tcW w:w="9700" w:type="dxa"/>
            <w:gridSpan w:val="12"/>
            <w:tcBorders>
              <w:top w:val="nil"/>
              <w:left w:val="nil"/>
              <w:bottom w:val="nil"/>
              <w:right w:val="nil"/>
            </w:tcBorders>
            <w:shd w:val="clear" w:color="auto" w:fill="auto"/>
            <w:vAlign w:val="bottom"/>
            <w:hideMark/>
          </w:tcPr>
          <w:p w:rsidR="00B77DE2" w:rsidRDefault="00B77DE2">
            <w:r>
              <w:t>Prihodi ostalih proračunskih korisnika iznosili su ukupno 200.000,00 kn. Navedeni prihod je prihod udruge "Kali Sara" kojim se sufinancira izgradnja višenamjenskog sportskog igrališta u romskom naselju. I za taj dio dobiveni sredstava odaslano je izvješće o namjenskom korištenju istih.</w:t>
            </w:r>
          </w:p>
        </w:tc>
      </w:tr>
      <w:tr w:rsidR="00B77DE2" w:rsidTr="00B77DE2">
        <w:trPr>
          <w:gridBefore w:val="1"/>
          <w:gridAfter w:val="1"/>
          <w:wBefore w:w="15" w:type="dxa"/>
          <w:wAfter w:w="1445" w:type="dxa"/>
          <w:trHeight w:val="1530"/>
        </w:trPr>
        <w:tc>
          <w:tcPr>
            <w:tcW w:w="9700" w:type="dxa"/>
            <w:gridSpan w:val="12"/>
            <w:tcBorders>
              <w:top w:val="nil"/>
              <w:left w:val="nil"/>
              <w:bottom w:val="nil"/>
              <w:right w:val="nil"/>
            </w:tcBorders>
            <w:shd w:val="clear" w:color="auto" w:fill="auto"/>
            <w:vAlign w:val="bottom"/>
            <w:hideMark/>
          </w:tcPr>
          <w:p w:rsidR="00B77DE2" w:rsidRDefault="00B77DE2">
            <w:r>
              <w:t>U istom proračunskom razdoblju 2018. godine Općina je od prihoda od dividendi prihodovala 159.220,00 kn, dok je u istom razdoblju 2019 godine prihod iznosio samo 25.000,00 kn. Razlog tome su manji prihodi od poslovanja  javnog poduzeća Međimurje-plin d.o.o. u kojem općina Orehovica participira u vlasničkoj strukturi.</w:t>
            </w:r>
          </w:p>
        </w:tc>
      </w:tr>
      <w:tr w:rsidR="00B77DE2" w:rsidTr="00B77DE2">
        <w:trPr>
          <w:gridBefore w:val="1"/>
          <w:gridAfter w:val="1"/>
          <w:wBefore w:w="15" w:type="dxa"/>
          <w:wAfter w:w="1445" w:type="dxa"/>
          <w:trHeight w:val="3525"/>
        </w:trPr>
        <w:tc>
          <w:tcPr>
            <w:tcW w:w="9700" w:type="dxa"/>
            <w:gridSpan w:val="12"/>
            <w:tcBorders>
              <w:top w:val="nil"/>
              <w:left w:val="nil"/>
              <w:bottom w:val="nil"/>
              <w:right w:val="nil"/>
            </w:tcBorders>
            <w:shd w:val="clear" w:color="auto" w:fill="auto"/>
            <w:vAlign w:val="bottom"/>
            <w:hideMark/>
          </w:tcPr>
          <w:p w:rsidR="00B77DE2" w:rsidRDefault="00B77DE2">
            <w:r>
              <w:t>Prihodi od komunalne naknade veći su za  20.931,00 kuna ili 6,0% (2016 - 306.290,00 kuna, 2017 -329.869,00 kuna, a 2018 347.964,00 kn 2019 - 368.895,00) u odnosu na isto obračunsko razdoblje prošle godine. Unatoč tome što se kontinuirano provode mjere prisilne naplate, odašilju se opomene dužnicima, te se usmeno ili telefonski neplatiše upozoravaju o dugovanjima, teška gospodarska situacija pridonijela je činjenici da se jako teško naplaćuju dugovanja dužnika za komunalnu naknadu i naknadu za uređenje voda. Navedeno povećanje naplate još uvijek nije dovoljno učinkovito da bi se potraživanja Općine Orehovica svela na optimalnu razinu. Međutim kroz cijelu 2019 godinu Općina Orehovica je pribjegla krajnjem obliku naplate svojih potraživanja, te odaslala rješenja o ovrhama na adrese okorjelih dužnika. I navedena mjera samo je djelomično učinkovita zbog već gore navedenih razloga.</w:t>
            </w:r>
          </w:p>
        </w:tc>
      </w:tr>
      <w:tr w:rsidR="00B77DE2" w:rsidTr="00B77DE2">
        <w:trPr>
          <w:gridBefore w:val="1"/>
          <w:gridAfter w:val="1"/>
          <w:wBefore w:w="15" w:type="dxa"/>
          <w:wAfter w:w="1445" w:type="dxa"/>
          <w:trHeight w:val="1545"/>
        </w:trPr>
        <w:tc>
          <w:tcPr>
            <w:tcW w:w="9700" w:type="dxa"/>
            <w:gridSpan w:val="12"/>
            <w:tcBorders>
              <w:top w:val="nil"/>
              <w:left w:val="nil"/>
              <w:bottom w:val="nil"/>
              <w:right w:val="nil"/>
            </w:tcBorders>
            <w:shd w:val="clear" w:color="auto" w:fill="auto"/>
            <w:vAlign w:val="bottom"/>
            <w:hideMark/>
          </w:tcPr>
          <w:p w:rsidR="00B77DE2" w:rsidRDefault="00B77DE2">
            <w:r>
              <w:t>Komunalni doprinosi su u istom razdoblju prošle godine naplaćeni u iznosu od 53.202,00 kn, dok je u istom razdoblju 2019 godine naplaćeno 116.586,00 kn.  Dinamika punjenja navedenih prihoda uvelike ovisi o dinamici izdavanja rješenja o izvedenom stanju u postupcima ozakonjenja nezakonito izgrađenih objekata pri nadležnim državnim službama.</w:t>
            </w:r>
          </w:p>
        </w:tc>
      </w:tr>
      <w:tr w:rsidR="00B77DE2" w:rsidTr="00B77DE2">
        <w:trPr>
          <w:gridBefore w:val="1"/>
          <w:gridAfter w:val="1"/>
          <w:wBefore w:w="15" w:type="dxa"/>
          <w:wAfter w:w="1445" w:type="dxa"/>
          <w:trHeight w:val="1455"/>
        </w:trPr>
        <w:tc>
          <w:tcPr>
            <w:tcW w:w="9700" w:type="dxa"/>
            <w:gridSpan w:val="12"/>
            <w:tcBorders>
              <w:top w:val="nil"/>
              <w:left w:val="nil"/>
              <w:bottom w:val="nil"/>
              <w:right w:val="nil"/>
            </w:tcBorders>
            <w:shd w:val="clear" w:color="auto" w:fill="auto"/>
            <w:vAlign w:val="bottom"/>
            <w:hideMark/>
          </w:tcPr>
          <w:p w:rsidR="00B77DE2" w:rsidRDefault="00B77DE2">
            <w:r>
              <w:t>Sukladno ranijim Okružnicama o predaji financijskih izvještaja proračuna, proračunskih i izvanproračunskih korisnika državnog proračuna te proračunskih i izvanproračunskih korisnika jedinica lokalne i područne (regionalne) samouprave  mjesni odbori, te Vijeće romske nacionalne manjine djeluju u okviru Općine Orehovica, tj. ne posluju preko vlastitog računa.</w:t>
            </w:r>
          </w:p>
        </w:tc>
      </w:tr>
      <w:tr w:rsidR="00B77DE2" w:rsidTr="00B77DE2">
        <w:trPr>
          <w:gridBefore w:val="1"/>
          <w:gridAfter w:val="1"/>
          <w:wBefore w:w="15" w:type="dxa"/>
          <w:wAfter w:w="1445" w:type="dxa"/>
          <w:trHeight w:val="1335"/>
        </w:trPr>
        <w:tc>
          <w:tcPr>
            <w:tcW w:w="9700" w:type="dxa"/>
            <w:gridSpan w:val="12"/>
            <w:tcBorders>
              <w:top w:val="nil"/>
              <w:left w:val="nil"/>
              <w:bottom w:val="nil"/>
              <w:right w:val="nil"/>
            </w:tcBorders>
            <w:shd w:val="clear" w:color="auto" w:fill="auto"/>
            <w:vAlign w:val="bottom"/>
            <w:hideMark/>
          </w:tcPr>
          <w:p w:rsidR="00B77DE2" w:rsidRDefault="00B77DE2">
            <w:r>
              <w:t>U 2019 godini za zapošljavanje radnika na javnim radovima od strane HZZ prihodovano je 153.235,68 kn, te za stručno osposobljavanje bez zasnivanja radnog odnosa 7.704,60kn. Navedena sredstva troše se namjenski, te se sukladno potpisanim ugovorima i dostavljaju izvješća o namjenskom trošenju istih.</w:t>
            </w:r>
          </w:p>
        </w:tc>
      </w:tr>
      <w:tr w:rsidR="00B77DE2" w:rsidTr="00B77DE2">
        <w:trPr>
          <w:gridBefore w:val="1"/>
          <w:gridAfter w:val="1"/>
          <w:wBefore w:w="15" w:type="dxa"/>
          <w:wAfter w:w="1445" w:type="dxa"/>
          <w:trHeight w:val="465"/>
        </w:trPr>
        <w:tc>
          <w:tcPr>
            <w:tcW w:w="9700" w:type="dxa"/>
            <w:gridSpan w:val="12"/>
            <w:tcBorders>
              <w:top w:val="nil"/>
              <w:left w:val="nil"/>
              <w:bottom w:val="nil"/>
              <w:right w:val="nil"/>
            </w:tcBorders>
            <w:shd w:val="clear" w:color="auto" w:fill="auto"/>
            <w:vAlign w:val="bottom"/>
            <w:hideMark/>
          </w:tcPr>
          <w:p w:rsidR="00B77DE2" w:rsidRDefault="00B77DE2">
            <w:r>
              <w:t>Tijekom izvještajnog razdoblja Općina Orehovica nije prodala niti jedno gradilište.</w:t>
            </w:r>
          </w:p>
        </w:tc>
      </w:tr>
      <w:tr w:rsidR="00B77DE2" w:rsidTr="00B77DE2">
        <w:trPr>
          <w:gridBefore w:val="1"/>
          <w:gridAfter w:val="1"/>
          <w:wBefore w:w="15" w:type="dxa"/>
          <w:wAfter w:w="1445" w:type="dxa"/>
          <w:trHeight w:val="2865"/>
        </w:trPr>
        <w:tc>
          <w:tcPr>
            <w:tcW w:w="9700" w:type="dxa"/>
            <w:gridSpan w:val="12"/>
            <w:tcBorders>
              <w:top w:val="nil"/>
              <w:left w:val="nil"/>
              <w:bottom w:val="nil"/>
              <w:right w:val="nil"/>
            </w:tcBorders>
            <w:shd w:val="clear" w:color="auto" w:fill="auto"/>
            <w:vAlign w:val="bottom"/>
            <w:hideMark/>
          </w:tcPr>
          <w:p w:rsidR="00B77DE2" w:rsidRDefault="00B77DE2">
            <w:r>
              <w:lastRenderedPageBreak/>
              <w:t>Isto tako Općina Orehovica je  s naslova naplaćenih sredstava po otkupu stanova na kojima je postojalo stanarsko pravo  u ovom izvještajnom razdoblju prihodovala ukupno 29.222,22 kune, a 45% tih sredstava ili 13.150,00 kuna prihod su proračuna Općine Orehovica. Daljnje aktivnosti oko naplate istih sredstava od Općine Mala Subotica su se intenzivirale, tijekom godine su odašiljane požurnice i zahtjev za suđenje u razumnom roku, te su iskazane u obaveznim bilješkama u popisu sudskih sporova u tijeku. Spor je završio, sredstva su naplaćena početkom mjeseca veljače 2020. godine .  Sukladno članku 27.  Zakonu o prodaji stanova na kojima postoji stanarsko pravo 55% ukupno prikupljenih sredstava, što u 2019 godini ukupno iznosi 16.072,28kn,  Općina Orehovica redovno uplaćuje u državni proračun.</w:t>
            </w:r>
          </w:p>
          <w:p w:rsidR="001D67DF" w:rsidRDefault="001D67DF"/>
          <w:tbl>
            <w:tblPr>
              <w:tblW w:w="8942" w:type="dxa"/>
              <w:tblLook w:val="04A0" w:firstRow="1" w:lastRow="0" w:firstColumn="1" w:lastColumn="0" w:noHBand="0" w:noVBand="1"/>
            </w:tblPr>
            <w:tblGrid>
              <w:gridCol w:w="5849"/>
              <w:gridCol w:w="1296"/>
              <w:gridCol w:w="1797"/>
            </w:tblGrid>
            <w:tr w:rsidR="001D67DF" w:rsidTr="003505AD">
              <w:trPr>
                <w:trHeight w:val="315"/>
              </w:trPr>
              <w:tc>
                <w:tcPr>
                  <w:tcW w:w="5849" w:type="dxa"/>
                  <w:tcBorders>
                    <w:top w:val="nil"/>
                    <w:left w:val="nil"/>
                    <w:bottom w:val="nil"/>
                    <w:right w:val="nil"/>
                  </w:tcBorders>
                  <w:shd w:val="clear" w:color="auto" w:fill="auto"/>
                  <w:noWrap/>
                  <w:vAlign w:val="bottom"/>
                  <w:hideMark/>
                </w:tcPr>
                <w:p w:rsidR="001D67DF" w:rsidRDefault="001D67DF" w:rsidP="001D67DF">
                  <w:pPr>
                    <w:rPr>
                      <w:b/>
                      <w:bCs/>
                    </w:rPr>
                  </w:pPr>
                  <w:r>
                    <w:rPr>
                      <w:b/>
                      <w:bCs/>
                    </w:rPr>
                    <w:t>POTRAŽIVANJA OPĆINE OREHOVICA NA DAN 31.12.2019.</w:t>
                  </w:r>
                </w:p>
              </w:tc>
              <w:tc>
                <w:tcPr>
                  <w:tcW w:w="3093" w:type="dxa"/>
                  <w:gridSpan w:val="2"/>
                  <w:tcBorders>
                    <w:top w:val="nil"/>
                    <w:left w:val="nil"/>
                    <w:bottom w:val="nil"/>
                    <w:right w:val="nil"/>
                  </w:tcBorders>
                  <w:shd w:val="clear" w:color="auto" w:fill="auto"/>
                  <w:noWrap/>
                  <w:vAlign w:val="bottom"/>
                  <w:hideMark/>
                </w:tcPr>
                <w:p w:rsidR="001D67DF" w:rsidRDefault="001D67DF" w:rsidP="001D67DF"/>
              </w:tc>
            </w:tr>
            <w:tr w:rsidR="001D67DF" w:rsidTr="003505AD">
              <w:trPr>
                <w:trHeight w:val="315"/>
              </w:trPr>
              <w:tc>
                <w:tcPr>
                  <w:tcW w:w="5849" w:type="dxa"/>
                  <w:tcBorders>
                    <w:top w:val="nil"/>
                    <w:left w:val="nil"/>
                    <w:bottom w:val="nil"/>
                    <w:right w:val="nil"/>
                  </w:tcBorders>
                  <w:shd w:val="clear" w:color="auto" w:fill="auto"/>
                  <w:noWrap/>
                  <w:vAlign w:val="bottom"/>
                  <w:hideMark/>
                </w:tcPr>
                <w:p w:rsidR="001D67DF" w:rsidRDefault="001D67DF" w:rsidP="001D67DF">
                  <w:pPr>
                    <w:rPr>
                      <w:sz w:val="20"/>
                      <w:szCs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7DF" w:rsidRDefault="001D67DF" w:rsidP="001D67DF">
                  <w:r>
                    <w:t>Knjižno stanje</w:t>
                  </w:r>
                </w:p>
              </w:tc>
              <w:tc>
                <w:tcPr>
                  <w:tcW w:w="1797" w:type="dxa"/>
                  <w:tcBorders>
                    <w:top w:val="single" w:sz="4" w:space="0" w:color="auto"/>
                    <w:left w:val="nil"/>
                    <w:bottom w:val="single" w:sz="4" w:space="0" w:color="auto"/>
                    <w:right w:val="single" w:sz="4" w:space="0" w:color="auto"/>
                  </w:tcBorders>
                  <w:shd w:val="clear" w:color="auto" w:fill="auto"/>
                  <w:noWrap/>
                  <w:vAlign w:val="bottom"/>
                  <w:hideMark/>
                </w:tcPr>
                <w:p w:rsidR="001D67DF" w:rsidRDefault="001D67DF" w:rsidP="001D67DF">
                  <w:r>
                    <w:t>Inventurno stanje</w:t>
                  </w:r>
                </w:p>
              </w:tc>
            </w:tr>
            <w:tr w:rsidR="001D67DF" w:rsidTr="003505AD">
              <w:trPr>
                <w:trHeight w:val="315"/>
              </w:trPr>
              <w:tc>
                <w:tcPr>
                  <w:tcW w:w="5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7DF" w:rsidRDefault="001D67DF" w:rsidP="001D67DF">
                  <w:r>
                    <w:t>Komunalna naknada - pravne osobe</w:t>
                  </w:r>
                </w:p>
              </w:tc>
              <w:tc>
                <w:tcPr>
                  <w:tcW w:w="1296"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2.072,43</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2.072,43</w:t>
                  </w:r>
                </w:p>
              </w:tc>
            </w:tr>
            <w:tr w:rsidR="001D67DF" w:rsidTr="003505AD">
              <w:trPr>
                <w:trHeight w:val="315"/>
              </w:trPr>
              <w:tc>
                <w:tcPr>
                  <w:tcW w:w="5849" w:type="dxa"/>
                  <w:tcBorders>
                    <w:top w:val="nil"/>
                    <w:left w:val="single" w:sz="4" w:space="0" w:color="auto"/>
                    <w:bottom w:val="single" w:sz="4" w:space="0" w:color="auto"/>
                    <w:right w:val="single" w:sz="4" w:space="0" w:color="auto"/>
                  </w:tcBorders>
                  <w:shd w:val="clear" w:color="auto" w:fill="auto"/>
                  <w:noWrap/>
                  <w:vAlign w:val="bottom"/>
                  <w:hideMark/>
                </w:tcPr>
                <w:p w:rsidR="001D67DF" w:rsidRDefault="001D67DF" w:rsidP="001D67DF">
                  <w:r>
                    <w:t>Komunalna naknada - fizičke osobe</w:t>
                  </w:r>
                </w:p>
              </w:tc>
              <w:tc>
                <w:tcPr>
                  <w:tcW w:w="1296"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65.081,90</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65.081,90</w:t>
                  </w:r>
                </w:p>
              </w:tc>
            </w:tr>
            <w:tr w:rsidR="001D67DF" w:rsidTr="003505AD">
              <w:trPr>
                <w:trHeight w:val="315"/>
              </w:trPr>
              <w:tc>
                <w:tcPr>
                  <w:tcW w:w="5849" w:type="dxa"/>
                  <w:tcBorders>
                    <w:top w:val="nil"/>
                    <w:left w:val="single" w:sz="4" w:space="0" w:color="auto"/>
                    <w:bottom w:val="single" w:sz="4" w:space="0" w:color="auto"/>
                    <w:right w:val="single" w:sz="4" w:space="0" w:color="auto"/>
                  </w:tcBorders>
                  <w:shd w:val="clear" w:color="auto" w:fill="auto"/>
                  <w:noWrap/>
                  <w:vAlign w:val="bottom"/>
                  <w:hideMark/>
                </w:tcPr>
                <w:p w:rsidR="001D67DF" w:rsidRDefault="001D67DF" w:rsidP="001D67DF">
                  <w:r>
                    <w:t>Komunalni doprinos</w:t>
                  </w:r>
                </w:p>
              </w:tc>
              <w:tc>
                <w:tcPr>
                  <w:tcW w:w="1296"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89.868,91</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89.868,91</w:t>
                  </w:r>
                </w:p>
              </w:tc>
            </w:tr>
            <w:tr w:rsidR="001D67DF" w:rsidTr="003505AD">
              <w:trPr>
                <w:trHeight w:val="315"/>
              </w:trPr>
              <w:tc>
                <w:tcPr>
                  <w:tcW w:w="5849" w:type="dxa"/>
                  <w:tcBorders>
                    <w:top w:val="nil"/>
                    <w:left w:val="single" w:sz="4" w:space="0" w:color="auto"/>
                    <w:bottom w:val="single" w:sz="4" w:space="0" w:color="auto"/>
                    <w:right w:val="single" w:sz="4" w:space="0" w:color="auto"/>
                  </w:tcBorders>
                  <w:shd w:val="clear" w:color="auto" w:fill="auto"/>
                  <w:noWrap/>
                  <w:vAlign w:val="bottom"/>
                  <w:hideMark/>
                </w:tcPr>
                <w:p w:rsidR="001D67DF" w:rsidRDefault="001D67DF" w:rsidP="001D67DF">
                  <w:r>
                    <w:t>Potraživanje za naknadu za zadržavanje zgrada</w:t>
                  </w:r>
                </w:p>
              </w:tc>
              <w:tc>
                <w:tcPr>
                  <w:tcW w:w="1296"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21.604,48</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21.604,48</w:t>
                  </w:r>
                </w:p>
              </w:tc>
            </w:tr>
            <w:tr w:rsidR="001D67DF" w:rsidTr="003505AD">
              <w:trPr>
                <w:trHeight w:val="315"/>
              </w:trPr>
              <w:tc>
                <w:tcPr>
                  <w:tcW w:w="5849" w:type="dxa"/>
                  <w:tcBorders>
                    <w:top w:val="nil"/>
                    <w:left w:val="single" w:sz="4" w:space="0" w:color="auto"/>
                    <w:bottom w:val="single" w:sz="4" w:space="0" w:color="auto"/>
                    <w:right w:val="single" w:sz="4" w:space="0" w:color="auto"/>
                  </w:tcBorders>
                  <w:shd w:val="clear" w:color="auto" w:fill="auto"/>
                  <w:noWrap/>
                  <w:vAlign w:val="bottom"/>
                  <w:hideMark/>
                </w:tcPr>
                <w:p w:rsidR="001D67DF" w:rsidRDefault="001D67DF" w:rsidP="001D67DF">
                  <w:r>
                    <w:t>Grobna naknada</w:t>
                  </w:r>
                </w:p>
              </w:tc>
              <w:tc>
                <w:tcPr>
                  <w:tcW w:w="1296"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32.568,31</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32.568,31</w:t>
                  </w:r>
                </w:p>
              </w:tc>
            </w:tr>
            <w:tr w:rsidR="001D67DF" w:rsidTr="003505AD">
              <w:trPr>
                <w:trHeight w:val="315"/>
              </w:trPr>
              <w:tc>
                <w:tcPr>
                  <w:tcW w:w="5849" w:type="dxa"/>
                  <w:tcBorders>
                    <w:top w:val="nil"/>
                    <w:left w:val="single" w:sz="4" w:space="0" w:color="auto"/>
                    <w:bottom w:val="single" w:sz="4" w:space="0" w:color="auto"/>
                    <w:right w:val="single" w:sz="4" w:space="0" w:color="auto"/>
                  </w:tcBorders>
                  <w:shd w:val="clear" w:color="auto" w:fill="auto"/>
                  <w:noWrap/>
                  <w:vAlign w:val="bottom"/>
                  <w:hideMark/>
                </w:tcPr>
                <w:p w:rsidR="001D67DF" w:rsidRDefault="001D67DF" w:rsidP="001D67DF">
                  <w:r>
                    <w:t>Porez na promet nekretnina</w:t>
                  </w:r>
                </w:p>
              </w:tc>
              <w:tc>
                <w:tcPr>
                  <w:tcW w:w="1296"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32.092,29</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32.092,29</w:t>
                  </w:r>
                </w:p>
              </w:tc>
            </w:tr>
            <w:tr w:rsidR="001D67DF" w:rsidTr="003505AD">
              <w:trPr>
                <w:trHeight w:val="315"/>
              </w:trPr>
              <w:tc>
                <w:tcPr>
                  <w:tcW w:w="5849" w:type="dxa"/>
                  <w:tcBorders>
                    <w:top w:val="nil"/>
                    <w:left w:val="single" w:sz="4" w:space="0" w:color="auto"/>
                    <w:bottom w:val="single" w:sz="4" w:space="0" w:color="auto"/>
                    <w:right w:val="single" w:sz="4" w:space="0" w:color="auto"/>
                  </w:tcBorders>
                  <w:shd w:val="clear" w:color="auto" w:fill="auto"/>
                  <w:noWrap/>
                  <w:vAlign w:val="bottom"/>
                  <w:hideMark/>
                </w:tcPr>
                <w:p w:rsidR="001D67DF" w:rsidRDefault="001D67DF" w:rsidP="001D67DF">
                  <w:r>
                    <w:t>Porez na kuće za odmor</w:t>
                  </w:r>
                </w:p>
              </w:tc>
              <w:tc>
                <w:tcPr>
                  <w:tcW w:w="1296"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0,00</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0,00</w:t>
                  </w:r>
                </w:p>
              </w:tc>
            </w:tr>
            <w:tr w:rsidR="001D67DF" w:rsidTr="003505AD">
              <w:trPr>
                <w:trHeight w:val="315"/>
              </w:trPr>
              <w:tc>
                <w:tcPr>
                  <w:tcW w:w="5849" w:type="dxa"/>
                  <w:tcBorders>
                    <w:top w:val="nil"/>
                    <w:left w:val="single" w:sz="4" w:space="0" w:color="auto"/>
                    <w:bottom w:val="single" w:sz="4" w:space="0" w:color="auto"/>
                    <w:right w:val="single" w:sz="4" w:space="0" w:color="auto"/>
                  </w:tcBorders>
                  <w:shd w:val="clear" w:color="auto" w:fill="auto"/>
                  <w:noWrap/>
                  <w:vAlign w:val="bottom"/>
                  <w:hideMark/>
                </w:tcPr>
                <w:p w:rsidR="001D67DF" w:rsidRDefault="001D67DF" w:rsidP="001D67DF">
                  <w:r>
                    <w:t>Porez na potrošnju</w:t>
                  </w:r>
                </w:p>
              </w:tc>
              <w:tc>
                <w:tcPr>
                  <w:tcW w:w="1296"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870,89</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870,89</w:t>
                  </w:r>
                </w:p>
              </w:tc>
            </w:tr>
            <w:tr w:rsidR="001D67DF" w:rsidTr="003505AD">
              <w:trPr>
                <w:trHeight w:val="315"/>
              </w:trPr>
              <w:tc>
                <w:tcPr>
                  <w:tcW w:w="5849" w:type="dxa"/>
                  <w:tcBorders>
                    <w:top w:val="nil"/>
                    <w:left w:val="single" w:sz="4" w:space="0" w:color="auto"/>
                    <w:bottom w:val="single" w:sz="4" w:space="0" w:color="auto"/>
                    <w:right w:val="single" w:sz="4" w:space="0" w:color="auto"/>
                  </w:tcBorders>
                  <w:shd w:val="clear" w:color="auto" w:fill="auto"/>
                  <w:noWrap/>
                  <w:vAlign w:val="bottom"/>
                  <w:hideMark/>
                </w:tcPr>
                <w:p w:rsidR="001D67DF" w:rsidRDefault="001D67DF" w:rsidP="001D67DF">
                  <w:r>
                    <w:t>Porez na tvrtku</w:t>
                  </w:r>
                </w:p>
              </w:tc>
              <w:tc>
                <w:tcPr>
                  <w:tcW w:w="1296"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22.482,05</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22.482,05</w:t>
                  </w:r>
                </w:p>
              </w:tc>
            </w:tr>
            <w:tr w:rsidR="001D67DF" w:rsidTr="003505AD">
              <w:trPr>
                <w:trHeight w:val="315"/>
              </w:trPr>
              <w:tc>
                <w:tcPr>
                  <w:tcW w:w="5849" w:type="dxa"/>
                  <w:tcBorders>
                    <w:top w:val="nil"/>
                    <w:left w:val="single" w:sz="4" w:space="0" w:color="auto"/>
                    <w:bottom w:val="single" w:sz="4" w:space="0" w:color="auto"/>
                    <w:right w:val="single" w:sz="4" w:space="0" w:color="auto"/>
                  </w:tcBorders>
                  <w:shd w:val="clear" w:color="auto" w:fill="auto"/>
                  <w:noWrap/>
                  <w:vAlign w:val="bottom"/>
                  <w:hideMark/>
                </w:tcPr>
                <w:p w:rsidR="001D67DF" w:rsidRDefault="001D67DF" w:rsidP="001D67DF">
                  <w:r>
                    <w:t>Zatezne kamate</w:t>
                  </w:r>
                </w:p>
              </w:tc>
              <w:tc>
                <w:tcPr>
                  <w:tcW w:w="1296"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28.432,07</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28.432,07</w:t>
                  </w:r>
                </w:p>
              </w:tc>
            </w:tr>
            <w:tr w:rsidR="001D67DF" w:rsidTr="003505AD">
              <w:trPr>
                <w:trHeight w:val="315"/>
              </w:trPr>
              <w:tc>
                <w:tcPr>
                  <w:tcW w:w="5849" w:type="dxa"/>
                  <w:tcBorders>
                    <w:top w:val="nil"/>
                    <w:left w:val="single" w:sz="4" w:space="0" w:color="auto"/>
                    <w:bottom w:val="single" w:sz="4" w:space="0" w:color="auto"/>
                    <w:right w:val="single" w:sz="4" w:space="0" w:color="auto"/>
                  </w:tcBorders>
                  <w:shd w:val="clear" w:color="auto" w:fill="auto"/>
                  <w:noWrap/>
                  <w:vAlign w:val="bottom"/>
                  <w:hideMark/>
                </w:tcPr>
                <w:p w:rsidR="001D67DF" w:rsidRDefault="001D67DF" w:rsidP="001D67DF">
                  <w:r>
                    <w:t xml:space="preserve">Koncesije </w:t>
                  </w:r>
                </w:p>
              </w:tc>
              <w:tc>
                <w:tcPr>
                  <w:tcW w:w="1296"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0,00</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0,00</w:t>
                  </w:r>
                </w:p>
              </w:tc>
            </w:tr>
            <w:tr w:rsidR="001D67DF" w:rsidTr="003505AD">
              <w:trPr>
                <w:trHeight w:val="315"/>
              </w:trPr>
              <w:tc>
                <w:tcPr>
                  <w:tcW w:w="5849" w:type="dxa"/>
                  <w:tcBorders>
                    <w:top w:val="nil"/>
                    <w:left w:val="single" w:sz="4" w:space="0" w:color="auto"/>
                    <w:bottom w:val="single" w:sz="4" w:space="0" w:color="auto"/>
                    <w:right w:val="single" w:sz="4" w:space="0" w:color="auto"/>
                  </w:tcBorders>
                  <w:shd w:val="clear" w:color="auto" w:fill="auto"/>
                  <w:noWrap/>
                  <w:vAlign w:val="bottom"/>
                  <w:hideMark/>
                </w:tcPr>
                <w:p w:rsidR="001D67DF" w:rsidRDefault="001D67DF" w:rsidP="001D67DF">
                  <w:r>
                    <w:t>Korištenje prostora elektrana</w:t>
                  </w:r>
                </w:p>
              </w:tc>
              <w:tc>
                <w:tcPr>
                  <w:tcW w:w="1296"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16.697,65</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16.697,65</w:t>
                  </w:r>
                </w:p>
              </w:tc>
            </w:tr>
            <w:tr w:rsidR="001D67DF" w:rsidTr="003505AD">
              <w:trPr>
                <w:trHeight w:val="315"/>
              </w:trPr>
              <w:tc>
                <w:tcPr>
                  <w:tcW w:w="5849" w:type="dxa"/>
                  <w:tcBorders>
                    <w:top w:val="nil"/>
                    <w:left w:val="single" w:sz="4" w:space="0" w:color="auto"/>
                    <w:bottom w:val="single" w:sz="4" w:space="0" w:color="auto"/>
                    <w:right w:val="single" w:sz="4" w:space="0" w:color="auto"/>
                  </w:tcBorders>
                  <w:shd w:val="clear" w:color="auto" w:fill="auto"/>
                  <w:noWrap/>
                  <w:vAlign w:val="bottom"/>
                  <w:hideMark/>
                </w:tcPr>
                <w:p w:rsidR="001D67DF" w:rsidRDefault="001D67DF" w:rsidP="001D67DF">
                  <w:r>
                    <w:t>Zakup i iznajmljivanje imovine</w:t>
                  </w:r>
                </w:p>
              </w:tc>
              <w:tc>
                <w:tcPr>
                  <w:tcW w:w="1296"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11.727,11</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11.727,11</w:t>
                  </w:r>
                </w:p>
              </w:tc>
            </w:tr>
            <w:tr w:rsidR="001D67DF" w:rsidTr="003505AD">
              <w:trPr>
                <w:trHeight w:val="315"/>
              </w:trPr>
              <w:tc>
                <w:tcPr>
                  <w:tcW w:w="5849" w:type="dxa"/>
                  <w:tcBorders>
                    <w:top w:val="nil"/>
                    <w:left w:val="single" w:sz="4" w:space="0" w:color="auto"/>
                    <w:bottom w:val="single" w:sz="4" w:space="0" w:color="auto"/>
                    <w:right w:val="single" w:sz="4" w:space="0" w:color="auto"/>
                  </w:tcBorders>
                  <w:shd w:val="clear" w:color="auto" w:fill="auto"/>
                  <w:noWrap/>
                  <w:vAlign w:val="bottom"/>
                  <w:hideMark/>
                </w:tcPr>
                <w:p w:rsidR="001D67DF" w:rsidRDefault="001D67DF" w:rsidP="001D67DF">
                  <w:r>
                    <w:t>Ostala nespomenuta potraživanja - Hrvatske vode</w:t>
                  </w:r>
                </w:p>
              </w:tc>
              <w:tc>
                <w:tcPr>
                  <w:tcW w:w="1296"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18.596,55</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18.596,55</w:t>
                  </w:r>
                </w:p>
              </w:tc>
            </w:tr>
            <w:tr w:rsidR="001D67DF" w:rsidTr="003505AD">
              <w:trPr>
                <w:trHeight w:val="630"/>
              </w:trPr>
              <w:tc>
                <w:tcPr>
                  <w:tcW w:w="5849" w:type="dxa"/>
                  <w:tcBorders>
                    <w:top w:val="nil"/>
                    <w:left w:val="single" w:sz="4" w:space="0" w:color="auto"/>
                    <w:bottom w:val="single" w:sz="4" w:space="0" w:color="auto"/>
                    <w:right w:val="single" w:sz="4" w:space="0" w:color="auto"/>
                  </w:tcBorders>
                  <w:shd w:val="clear" w:color="auto" w:fill="auto"/>
                  <w:vAlign w:val="bottom"/>
                  <w:hideMark/>
                </w:tcPr>
                <w:p w:rsidR="001D67DF" w:rsidRDefault="001D67DF" w:rsidP="001D67DF">
                  <w:r>
                    <w:t>Naknada za korištenje javne površine u svrhu prodaja putem pokretne trgovine na području Općine Orehovica</w:t>
                  </w:r>
                </w:p>
              </w:tc>
              <w:tc>
                <w:tcPr>
                  <w:tcW w:w="1296"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13.485,55</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13.485,55</w:t>
                  </w:r>
                </w:p>
              </w:tc>
            </w:tr>
            <w:tr w:rsidR="001D67DF" w:rsidTr="003505AD">
              <w:trPr>
                <w:trHeight w:val="315"/>
              </w:trPr>
              <w:tc>
                <w:tcPr>
                  <w:tcW w:w="5849" w:type="dxa"/>
                  <w:tcBorders>
                    <w:top w:val="nil"/>
                    <w:left w:val="nil"/>
                    <w:bottom w:val="single" w:sz="4" w:space="0" w:color="auto"/>
                    <w:right w:val="single" w:sz="4" w:space="0" w:color="auto"/>
                  </w:tcBorders>
                  <w:shd w:val="clear" w:color="auto" w:fill="auto"/>
                  <w:vAlign w:val="bottom"/>
                  <w:hideMark/>
                </w:tcPr>
                <w:p w:rsidR="001D67DF" w:rsidRDefault="001D67DF" w:rsidP="001D67DF">
                  <w:r>
                    <w:t>Povrat studentskih stipendija</w:t>
                  </w:r>
                </w:p>
              </w:tc>
              <w:tc>
                <w:tcPr>
                  <w:tcW w:w="1296"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2.000,00</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pPr>
                  <w:r>
                    <w:t>0,00</w:t>
                  </w:r>
                </w:p>
              </w:tc>
            </w:tr>
            <w:tr w:rsidR="001D67DF" w:rsidTr="003505AD">
              <w:trPr>
                <w:trHeight w:val="315"/>
              </w:trPr>
              <w:tc>
                <w:tcPr>
                  <w:tcW w:w="5849" w:type="dxa"/>
                  <w:tcBorders>
                    <w:top w:val="nil"/>
                    <w:left w:val="nil"/>
                    <w:bottom w:val="nil"/>
                    <w:right w:val="nil"/>
                  </w:tcBorders>
                  <w:shd w:val="clear" w:color="auto" w:fill="auto"/>
                  <w:noWrap/>
                  <w:vAlign w:val="bottom"/>
                  <w:hideMark/>
                </w:tcPr>
                <w:p w:rsidR="001D67DF" w:rsidRDefault="001D67DF" w:rsidP="001D67DF">
                  <w:pPr>
                    <w:jc w:val="right"/>
                  </w:pP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1D67DF" w:rsidRDefault="001D67DF" w:rsidP="001D67DF">
                  <w:pPr>
                    <w:jc w:val="right"/>
                    <w:rPr>
                      <w:b/>
                      <w:bCs/>
                    </w:rPr>
                  </w:pPr>
                  <w:r>
                    <w:rPr>
                      <w:b/>
                      <w:bCs/>
                    </w:rPr>
                    <w:t>357.580,19</w:t>
                  </w:r>
                </w:p>
              </w:tc>
              <w:tc>
                <w:tcPr>
                  <w:tcW w:w="1797" w:type="dxa"/>
                  <w:tcBorders>
                    <w:top w:val="nil"/>
                    <w:left w:val="nil"/>
                    <w:bottom w:val="single" w:sz="4" w:space="0" w:color="auto"/>
                    <w:right w:val="single" w:sz="4" w:space="0" w:color="auto"/>
                  </w:tcBorders>
                  <w:shd w:val="clear" w:color="auto" w:fill="auto"/>
                  <w:noWrap/>
                  <w:vAlign w:val="bottom"/>
                  <w:hideMark/>
                </w:tcPr>
                <w:p w:rsidR="001D67DF" w:rsidRDefault="001D67DF" w:rsidP="001D67DF">
                  <w:pPr>
                    <w:jc w:val="right"/>
                    <w:rPr>
                      <w:b/>
                      <w:bCs/>
                    </w:rPr>
                  </w:pPr>
                  <w:r>
                    <w:rPr>
                      <w:b/>
                      <w:bCs/>
                    </w:rPr>
                    <w:t>355.580,19</w:t>
                  </w:r>
                </w:p>
              </w:tc>
            </w:tr>
          </w:tbl>
          <w:p w:rsidR="001D67DF" w:rsidRDefault="001D67DF"/>
        </w:tc>
      </w:tr>
      <w:tr w:rsidR="00B77DE2" w:rsidTr="00B77DE2">
        <w:trPr>
          <w:gridBefore w:val="1"/>
          <w:gridAfter w:val="1"/>
          <w:wBefore w:w="15" w:type="dxa"/>
          <w:wAfter w:w="1445" w:type="dxa"/>
          <w:trHeight w:val="660"/>
        </w:trPr>
        <w:tc>
          <w:tcPr>
            <w:tcW w:w="4020" w:type="dxa"/>
            <w:gridSpan w:val="4"/>
            <w:tcBorders>
              <w:top w:val="nil"/>
              <w:left w:val="nil"/>
              <w:bottom w:val="nil"/>
              <w:right w:val="nil"/>
            </w:tcBorders>
            <w:shd w:val="clear" w:color="auto" w:fill="auto"/>
            <w:vAlign w:val="bottom"/>
            <w:hideMark/>
          </w:tcPr>
          <w:p w:rsidR="00B77DE2" w:rsidRDefault="00B77DE2">
            <w:pPr>
              <w:jc w:val="center"/>
              <w:rPr>
                <w:b/>
                <w:bCs/>
                <w:sz w:val="28"/>
                <w:szCs w:val="28"/>
              </w:rPr>
            </w:pPr>
            <w:r>
              <w:rPr>
                <w:b/>
                <w:bCs/>
                <w:sz w:val="28"/>
                <w:szCs w:val="28"/>
              </w:rPr>
              <w:t>II RASHODI/IZDACI</w:t>
            </w:r>
          </w:p>
        </w:tc>
        <w:tc>
          <w:tcPr>
            <w:tcW w:w="1420" w:type="dxa"/>
            <w:gridSpan w:val="2"/>
            <w:tcBorders>
              <w:top w:val="nil"/>
              <w:left w:val="nil"/>
              <w:bottom w:val="nil"/>
              <w:right w:val="nil"/>
            </w:tcBorders>
            <w:shd w:val="clear" w:color="auto" w:fill="auto"/>
            <w:vAlign w:val="bottom"/>
            <w:hideMark/>
          </w:tcPr>
          <w:p w:rsidR="00B77DE2" w:rsidRDefault="00B77DE2">
            <w:pPr>
              <w:jc w:val="center"/>
              <w:rPr>
                <w:b/>
                <w:bCs/>
                <w:sz w:val="28"/>
                <w:szCs w:val="28"/>
              </w:rPr>
            </w:pPr>
          </w:p>
        </w:tc>
        <w:tc>
          <w:tcPr>
            <w:tcW w:w="1420" w:type="dxa"/>
            <w:gridSpan w:val="2"/>
            <w:tcBorders>
              <w:top w:val="nil"/>
              <w:left w:val="nil"/>
              <w:bottom w:val="nil"/>
              <w:right w:val="nil"/>
            </w:tcBorders>
            <w:shd w:val="clear" w:color="auto" w:fill="auto"/>
            <w:vAlign w:val="bottom"/>
            <w:hideMark/>
          </w:tcPr>
          <w:p w:rsidR="00B77DE2" w:rsidRDefault="00B77DE2">
            <w:pPr>
              <w:rPr>
                <w:sz w:val="20"/>
                <w:szCs w:val="20"/>
              </w:rPr>
            </w:pPr>
          </w:p>
        </w:tc>
        <w:tc>
          <w:tcPr>
            <w:tcW w:w="1440" w:type="dxa"/>
            <w:gridSpan w:val="2"/>
            <w:tcBorders>
              <w:top w:val="nil"/>
              <w:left w:val="nil"/>
              <w:bottom w:val="nil"/>
              <w:right w:val="nil"/>
            </w:tcBorders>
            <w:shd w:val="clear" w:color="auto" w:fill="auto"/>
            <w:vAlign w:val="bottom"/>
            <w:hideMark/>
          </w:tcPr>
          <w:p w:rsidR="00B77DE2" w:rsidRDefault="00B77DE2">
            <w:pPr>
              <w:rPr>
                <w:sz w:val="20"/>
                <w:szCs w:val="20"/>
              </w:rPr>
            </w:pPr>
          </w:p>
        </w:tc>
        <w:tc>
          <w:tcPr>
            <w:tcW w:w="1400" w:type="dxa"/>
            <w:gridSpan w:val="2"/>
            <w:tcBorders>
              <w:top w:val="nil"/>
              <w:left w:val="nil"/>
              <w:bottom w:val="nil"/>
              <w:right w:val="nil"/>
            </w:tcBorders>
            <w:shd w:val="clear" w:color="auto" w:fill="auto"/>
            <w:vAlign w:val="bottom"/>
            <w:hideMark/>
          </w:tcPr>
          <w:p w:rsidR="00B77DE2" w:rsidRDefault="00B77DE2">
            <w:pPr>
              <w:rPr>
                <w:sz w:val="20"/>
                <w:szCs w:val="20"/>
              </w:rPr>
            </w:pPr>
          </w:p>
        </w:tc>
      </w:tr>
      <w:tr w:rsidR="00B77DE2" w:rsidTr="00B77DE2">
        <w:trPr>
          <w:gridBefore w:val="1"/>
          <w:gridAfter w:val="1"/>
          <w:wBefore w:w="15" w:type="dxa"/>
          <w:wAfter w:w="1445" w:type="dxa"/>
          <w:trHeight w:val="1170"/>
        </w:trPr>
        <w:tc>
          <w:tcPr>
            <w:tcW w:w="9700" w:type="dxa"/>
            <w:gridSpan w:val="12"/>
            <w:tcBorders>
              <w:top w:val="nil"/>
              <w:left w:val="nil"/>
              <w:bottom w:val="nil"/>
              <w:right w:val="nil"/>
            </w:tcBorders>
            <w:shd w:val="clear" w:color="auto" w:fill="auto"/>
            <w:vAlign w:val="bottom"/>
            <w:hideMark/>
          </w:tcPr>
          <w:p w:rsidR="00B77DE2" w:rsidRDefault="00B77DE2">
            <w:r>
              <w:t>U obračunskom razdoblju I-XII mjesec 2019 godine ostvareni su ukupni rashodi u iznosu 8.473.859,99 kuna, što je 96,92% ovogodišnjeg plana, ili 111,19% promatranog obračunskoga razdoblja prošle godine.</w:t>
            </w:r>
          </w:p>
        </w:tc>
      </w:tr>
      <w:tr w:rsidR="00B77DE2" w:rsidTr="00B77DE2">
        <w:trPr>
          <w:gridBefore w:val="1"/>
          <w:gridAfter w:val="1"/>
          <w:wBefore w:w="15" w:type="dxa"/>
          <w:wAfter w:w="1445" w:type="dxa"/>
          <w:trHeight w:val="1965"/>
        </w:trPr>
        <w:tc>
          <w:tcPr>
            <w:tcW w:w="9700" w:type="dxa"/>
            <w:gridSpan w:val="12"/>
            <w:tcBorders>
              <w:top w:val="nil"/>
              <w:left w:val="nil"/>
              <w:bottom w:val="nil"/>
              <w:right w:val="nil"/>
            </w:tcBorders>
            <w:shd w:val="clear" w:color="auto" w:fill="auto"/>
            <w:vAlign w:val="bottom"/>
            <w:hideMark/>
          </w:tcPr>
          <w:p w:rsidR="00B77DE2" w:rsidRDefault="00B77DE2">
            <w:r>
              <w:t xml:space="preserve">Rashodi za zaposlene iznose 763.247,00 kn, što je za 13,6% manji rashod nego u istom razdoblju prošle godine. Najveći razlog tome je što komunalna redarka Općine Orehovica koristila porodiljni dopust, a kandidata koji bi zadovoljili kriterije po raspisanom natječaju na određeno vrijeme nije bilo, pa je u tom dijelu bilo manje rashoda.  Drugi razlog smanjenja rashoda za zaposlene je u tome što je Hrvatski zavod za zapošljavanje u okviru mjere javnih radova manjim  obimom odobravao zapošljavanje i sufinanciranje istih nego prošle godine. </w:t>
            </w:r>
          </w:p>
        </w:tc>
      </w:tr>
      <w:tr w:rsidR="00B77DE2" w:rsidTr="00B77DE2">
        <w:trPr>
          <w:gridBefore w:val="1"/>
          <w:gridAfter w:val="1"/>
          <w:wBefore w:w="15" w:type="dxa"/>
          <w:wAfter w:w="1445" w:type="dxa"/>
          <w:trHeight w:val="420"/>
        </w:trPr>
        <w:tc>
          <w:tcPr>
            <w:tcW w:w="2060" w:type="dxa"/>
            <w:gridSpan w:val="2"/>
            <w:tcBorders>
              <w:top w:val="nil"/>
              <w:left w:val="nil"/>
              <w:bottom w:val="nil"/>
              <w:right w:val="nil"/>
            </w:tcBorders>
            <w:shd w:val="clear" w:color="auto" w:fill="auto"/>
            <w:vAlign w:val="bottom"/>
            <w:hideMark/>
          </w:tcPr>
          <w:p w:rsidR="00B77DE2" w:rsidRDefault="00B77DE2"/>
        </w:tc>
        <w:tc>
          <w:tcPr>
            <w:tcW w:w="1960" w:type="dxa"/>
            <w:gridSpan w:val="2"/>
            <w:tcBorders>
              <w:top w:val="nil"/>
              <w:left w:val="nil"/>
              <w:bottom w:val="nil"/>
              <w:right w:val="nil"/>
            </w:tcBorders>
            <w:shd w:val="clear" w:color="auto" w:fill="auto"/>
            <w:vAlign w:val="bottom"/>
            <w:hideMark/>
          </w:tcPr>
          <w:p w:rsidR="00B77DE2" w:rsidRDefault="00B77DE2">
            <w:pPr>
              <w:rPr>
                <w:sz w:val="20"/>
                <w:szCs w:val="20"/>
              </w:rPr>
            </w:pPr>
          </w:p>
        </w:tc>
        <w:tc>
          <w:tcPr>
            <w:tcW w:w="1420" w:type="dxa"/>
            <w:gridSpan w:val="2"/>
            <w:tcBorders>
              <w:top w:val="nil"/>
              <w:left w:val="nil"/>
              <w:bottom w:val="nil"/>
              <w:right w:val="nil"/>
            </w:tcBorders>
            <w:shd w:val="clear" w:color="auto" w:fill="auto"/>
            <w:vAlign w:val="bottom"/>
            <w:hideMark/>
          </w:tcPr>
          <w:p w:rsidR="00B77DE2" w:rsidRDefault="00B77DE2">
            <w:pPr>
              <w:rPr>
                <w:sz w:val="20"/>
                <w:szCs w:val="20"/>
              </w:rPr>
            </w:pPr>
          </w:p>
        </w:tc>
        <w:tc>
          <w:tcPr>
            <w:tcW w:w="1420" w:type="dxa"/>
            <w:gridSpan w:val="2"/>
            <w:tcBorders>
              <w:top w:val="nil"/>
              <w:left w:val="nil"/>
              <w:bottom w:val="nil"/>
              <w:right w:val="nil"/>
            </w:tcBorders>
            <w:shd w:val="clear" w:color="auto" w:fill="auto"/>
            <w:vAlign w:val="bottom"/>
            <w:hideMark/>
          </w:tcPr>
          <w:p w:rsidR="00B77DE2" w:rsidRDefault="00B77DE2">
            <w:pPr>
              <w:rPr>
                <w:sz w:val="20"/>
                <w:szCs w:val="20"/>
              </w:rPr>
            </w:pPr>
          </w:p>
        </w:tc>
        <w:tc>
          <w:tcPr>
            <w:tcW w:w="1440" w:type="dxa"/>
            <w:gridSpan w:val="2"/>
            <w:tcBorders>
              <w:top w:val="nil"/>
              <w:left w:val="nil"/>
              <w:bottom w:val="nil"/>
              <w:right w:val="nil"/>
            </w:tcBorders>
            <w:shd w:val="clear" w:color="auto" w:fill="auto"/>
            <w:vAlign w:val="bottom"/>
            <w:hideMark/>
          </w:tcPr>
          <w:p w:rsidR="00B77DE2" w:rsidRDefault="00B77DE2">
            <w:pPr>
              <w:rPr>
                <w:sz w:val="20"/>
                <w:szCs w:val="20"/>
              </w:rPr>
            </w:pPr>
          </w:p>
        </w:tc>
        <w:tc>
          <w:tcPr>
            <w:tcW w:w="1400" w:type="dxa"/>
            <w:gridSpan w:val="2"/>
            <w:tcBorders>
              <w:top w:val="nil"/>
              <w:left w:val="nil"/>
              <w:bottom w:val="nil"/>
              <w:right w:val="nil"/>
            </w:tcBorders>
            <w:shd w:val="clear" w:color="auto" w:fill="auto"/>
            <w:vAlign w:val="bottom"/>
            <w:hideMark/>
          </w:tcPr>
          <w:p w:rsidR="00B77DE2" w:rsidRDefault="00B77DE2">
            <w:pPr>
              <w:rPr>
                <w:sz w:val="20"/>
                <w:szCs w:val="20"/>
              </w:rPr>
            </w:pPr>
          </w:p>
        </w:tc>
      </w:tr>
      <w:tr w:rsidR="00B77DE2" w:rsidTr="00B77DE2">
        <w:trPr>
          <w:gridBefore w:val="1"/>
          <w:gridAfter w:val="1"/>
          <w:wBefore w:w="15" w:type="dxa"/>
          <w:wAfter w:w="1445" w:type="dxa"/>
          <w:trHeight w:val="420"/>
        </w:trPr>
        <w:tc>
          <w:tcPr>
            <w:tcW w:w="2060" w:type="dxa"/>
            <w:gridSpan w:val="2"/>
            <w:tcBorders>
              <w:top w:val="nil"/>
              <w:left w:val="nil"/>
              <w:bottom w:val="nil"/>
              <w:right w:val="nil"/>
            </w:tcBorders>
            <w:shd w:val="clear" w:color="auto" w:fill="auto"/>
            <w:noWrap/>
            <w:vAlign w:val="bottom"/>
            <w:hideMark/>
          </w:tcPr>
          <w:p w:rsidR="00B77DE2" w:rsidRDefault="00B77DE2">
            <w:pPr>
              <w:rPr>
                <w:b/>
                <w:bCs/>
                <w:sz w:val="20"/>
                <w:szCs w:val="20"/>
              </w:rPr>
            </w:pPr>
            <w:r>
              <w:rPr>
                <w:b/>
                <w:bCs/>
                <w:sz w:val="20"/>
                <w:szCs w:val="20"/>
              </w:rPr>
              <w:t xml:space="preserve">Izračun mase plaća </w:t>
            </w:r>
          </w:p>
        </w:tc>
        <w:tc>
          <w:tcPr>
            <w:tcW w:w="1960" w:type="dxa"/>
            <w:gridSpan w:val="2"/>
            <w:tcBorders>
              <w:top w:val="nil"/>
              <w:left w:val="nil"/>
              <w:bottom w:val="nil"/>
              <w:right w:val="nil"/>
            </w:tcBorders>
            <w:shd w:val="clear" w:color="auto" w:fill="auto"/>
            <w:noWrap/>
            <w:vAlign w:val="bottom"/>
            <w:hideMark/>
          </w:tcPr>
          <w:p w:rsidR="00B77DE2" w:rsidRDefault="00B77DE2">
            <w:pPr>
              <w:rPr>
                <w:b/>
                <w:bCs/>
                <w:sz w:val="20"/>
                <w:szCs w:val="20"/>
              </w:rPr>
            </w:pPr>
          </w:p>
        </w:tc>
        <w:tc>
          <w:tcPr>
            <w:tcW w:w="1420" w:type="dxa"/>
            <w:gridSpan w:val="2"/>
            <w:tcBorders>
              <w:top w:val="nil"/>
              <w:left w:val="nil"/>
              <w:bottom w:val="nil"/>
              <w:right w:val="nil"/>
            </w:tcBorders>
            <w:shd w:val="clear" w:color="auto" w:fill="auto"/>
            <w:noWrap/>
            <w:vAlign w:val="bottom"/>
            <w:hideMark/>
          </w:tcPr>
          <w:p w:rsidR="00B77DE2" w:rsidRDefault="00B77DE2">
            <w:pPr>
              <w:rPr>
                <w:sz w:val="20"/>
                <w:szCs w:val="20"/>
              </w:rPr>
            </w:pPr>
          </w:p>
        </w:tc>
        <w:tc>
          <w:tcPr>
            <w:tcW w:w="1420" w:type="dxa"/>
            <w:gridSpan w:val="2"/>
            <w:tcBorders>
              <w:top w:val="nil"/>
              <w:left w:val="nil"/>
              <w:bottom w:val="nil"/>
              <w:right w:val="nil"/>
            </w:tcBorders>
            <w:shd w:val="clear" w:color="auto" w:fill="auto"/>
            <w:noWrap/>
            <w:vAlign w:val="bottom"/>
            <w:hideMark/>
          </w:tcPr>
          <w:p w:rsidR="00B77DE2" w:rsidRDefault="00B77DE2">
            <w:pPr>
              <w:rPr>
                <w:sz w:val="20"/>
                <w:szCs w:val="20"/>
              </w:rPr>
            </w:pPr>
          </w:p>
        </w:tc>
        <w:tc>
          <w:tcPr>
            <w:tcW w:w="1440" w:type="dxa"/>
            <w:gridSpan w:val="2"/>
            <w:tcBorders>
              <w:top w:val="nil"/>
              <w:left w:val="nil"/>
              <w:bottom w:val="nil"/>
              <w:right w:val="nil"/>
            </w:tcBorders>
            <w:shd w:val="clear" w:color="auto" w:fill="auto"/>
            <w:noWrap/>
            <w:vAlign w:val="bottom"/>
            <w:hideMark/>
          </w:tcPr>
          <w:p w:rsidR="00B77DE2" w:rsidRDefault="00B77DE2">
            <w:pPr>
              <w:rPr>
                <w:sz w:val="20"/>
                <w:szCs w:val="20"/>
              </w:rPr>
            </w:pPr>
          </w:p>
        </w:tc>
        <w:tc>
          <w:tcPr>
            <w:tcW w:w="1400" w:type="dxa"/>
            <w:gridSpan w:val="2"/>
            <w:tcBorders>
              <w:top w:val="nil"/>
              <w:left w:val="nil"/>
              <w:bottom w:val="nil"/>
              <w:right w:val="nil"/>
            </w:tcBorders>
            <w:shd w:val="clear" w:color="auto" w:fill="auto"/>
            <w:vAlign w:val="bottom"/>
            <w:hideMark/>
          </w:tcPr>
          <w:p w:rsidR="00B77DE2" w:rsidRDefault="00B77DE2">
            <w:pPr>
              <w:rPr>
                <w:sz w:val="20"/>
                <w:szCs w:val="20"/>
              </w:rPr>
            </w:pPr>
          </w:p>
        </w:tc>
      </w:tr>
      <w:tr w:rsidR="00B77DE2" w:rsidTr="00B77DE2">
        <w:trPr>
          <w:gridBefore w:val="1"/>
          <w:gridAfter w:val="1"/>
          <w:wBefore w:w="15" w:type="dxa"/>
          <w:wAfter w:w="1445" w:type="dxa"/>
          <w:trHeight w:val="1005"/>
        </w:trPr>
        <w:tc>
          <w:tcPr>
            <w:tcW w:w="2060" w:type="dxa"/>
            <w:gridSpan w:val="2"/>
            <w:tcBorders>
              <w:top w:val="nil"/>
              <w:left w:val="nil"/>
              <w:bottom w:val="nil"/>
              <w:right w:val="nil"/>
            </w:tcBorders>
            <w:shd w:val="clear" w:color="auto" w:fill="auto"/>
            <w:noWrap/>
            <w:vAlign w:val="bottom"/>
            <w:hideMark/>
          </w:tcPr>
          <w:p w:rsidR="00B77DE2" w:rsidRDefault="00B77DE2">
            <w:pPr>
              <w:rPr>
                <w:sz w:val="20"/>
                <w:szCs w:val="20"/>
              </w:rPr>
            </w:pPr>
          </w:p>
        </w:tc>
        <w:tc>
          <w:tcPr>
            <w:tcW w:w="1960" w:type="dxa"/>
            <w:gridSpan w:val="2"/>
            <w:tcBorders>
              <w:top w:val="nil"/>
              <w:left w:val="nil"/>
              <w:bottom w:val="nil"/>
              <w:right w:val="nil"/>
            </w:tcBorders>
            <w:shd w:val="clear" w:color="auto" w:fill="auto"/>
            <w:noWrap/>
            <w:vAlign w:val="bottom"/>
            <w:hideMark/>
          </w:tcPr>
          <w:p w:rsidR="00B77DE2" w:rsidRDefault="00B77DE2">
            <w:pPr>
              <w:rPr>
                <w:sz w:val="20"/>
                <w:szCs w:val="20"/>
              </w:rPr>
            </w:pPr>
          </w:p>
        </w:tc>
        <w:tc>
          <w:tcPr>
            <w:tcW w:w="1420" w:type="dxa"/>
            <w:gridSpan w:val="2"/>
            <w:tcBorders>
              <w:top w:val="nil"/>
              <w:left w:val="nil"/>
              <w:bottom w:val="nil"/>
              <w:right w:val="nil"/>
            </w:tcBorders>
            <w:shd w:val="clear" w:color="auto" w:fill="auto"/>
            <w:vAlign w:val="bottom"/>
            <w:hideMark/>
          </w:tcPr>
          <w:p w:rsidR="00B77DE2" w:rsidRDefault="00B77DE2">
            <w:pPr>
              <w:jc w:val="center"/>
              <w:rPr>
                <w:b/>
                <w:bCs/>
                <w:sz w:val="20"/>
                <w:szCs w:val="20"/>
              </w:rPr>
            </w:pPr>
            <w:r>
              <w:rPr>
                <w:b/>
                <w:bCs/>
                <w:sz w:val="20"/>
                <w:szCs w:val="20"/>
              </w:rPr>
              <w:t xml:space="preserve"> Izvršenje proračuna 2016. godina </w:t>
            </w:r>
          </w:p>
        </w:tc>
        <w:tc>
          <w:tcPr>
            <w:tcW w:w="1420" w:type="dxa"/>
            <w:gridSpan w:val="2"/>
            <w:tcBorders>
              <w:top w:val="nil"/>
              <w:left w:val="nil"/>
              <w:bottom w:val="nil"/>
              <w:right w:val="nil"/>
            </w:tcBorders>
            <w:shd w:val="clear" w:color="auto" w:fill="auto"/>
            <w:vAlign w:val="bottom"/>
            <w:hideMark/>
          </w:tcPr>
          <w:p w:rsidR="00B77DE2" w:rsidRDefault="00B77DE2">
            <w:pPr>
              <w:jc w:val="center"/>
              <w:rPr>
                <w:b/>
                <w:bCs/>
                <w:sz w:val="20"/>
                <w:szCs w:val="20"/>
              </w:rPr>
            </w:pPr>
            <w:r>
              <w:rPr>
                <w:b/>
                <w:bCs/>
                <w:sz w:val="20"/>
                <w:szCs w:val="20"/>
              </w:rPr>
              <w:t xml:space="preserve"> Izvršenje proračuna 2017. godina </w:t>
            </w:r>
          </w:p>
        </w:tc>
        <w:tc>
          <w:tcPr>
            <w:tcW w:w="1440" w:type="dxa"/>
            <w:gridSpan w:val="2"/>
            <w:tcBorders>
              <w:top w:val="nil"/>
              <w:left w:val="nil"/>
              <w:bottom w:val="nil"/>
              <w:right w:val="nil"/>
            </w:tcBorders>
            <w:shd w:val="clear" w:color="auto" w:fill="auto"/>
            <w:vAlign w:val="bottom"/>
            <w:hideMark/>
          </w:tcPr>
          <w:p w:rsidR="00B77DE2" w:rsidRDefault="00B77DE2">
            <w:pPr>
              <w:jc w:val="center"/>
              <w:rPr>
                <w:b/>
                <w:bCs/>
                <w:sz w:val="20"/>
                <w:szCs w:val="20"/>
              </w:rPr>
            </w:pPr>
            <w:r>
              <w:rPr>
                <w:b/>
                <w:bCs/>
                <w:sz w:val="20"/>
                <w:szCs w:val="20"/>
              </w:rPr>
              <w:t xml:space="preserve"> Izvršenje proračuna 2018 godina </w:t>
            </w:r>
          </w:p>
        </w:tc>
        <w:tc>
          <w:tcPr>
            <w:tcW w:w="1400" w:type="dxa"/>
            <w:gridSpan w:val="2"/>
            <w:tcBorders>
              <w:top w:val="nil"/>
              <w:left w:val="nil"/>
              <w:bottom w:val="nil"/>
              <w:right w:val="nil"/>
            </w:tcBorders>
            <w:shd w:val="clear" w:color="auto" w:fill="auto"/>
            <w:vAlign w:val="bottom"/>
            <w:hideMark/>
          </w:tcPr>
          <w:p w:rsidR="00B77DE2" w:rsidRDefault="00B77DE2">
            <w:pPr>
              <w:jc w:val="center"/>
              <w:rPr>
                <w:b/>
                <w:bCs/>
                <w:sz w:val="20"/>
                <w:szCs w:val="20"/>
              </w:rPr>
            </w:pPr>
            <w:r>
              <w:rPr>
                <w:b/>
                <w:bCs/>
                <w:sz w:val="20"/>
                <w:szCs w:val="20"/>
              </w:rPr>
              <w:t xml:space="preserve"> Izvršenje proračuna 2019 godina </w:t>
            </w:r>
          </w:p>
        </w:tc>
      </w:tr>
      <w:tr w:rsidR="00B77DE2" w:rsidTr="00B77DE2">
        <w:trPr>
          <w:gridBefore w:val="1"/>
          <w:gridAfter w:val="1"/>
          <w:wBefore w:w="15" w:type="dxa"/>
          <w:wAfter w:w="1445" w:type="dxa"/>
          <w:trHeight w:val="1005"/>
        </w:trPr>
        <w:tc>
          <w:tcPr>
            <w:tcW w:w="4020" w:type="dxa"/>
            <w:gridSpan w:val="4"/>
            <w:tcBorders>
              <w:top w:val="nil"/>
              <w:left w:val="nil"/>
              <w:bottom w:val="nil"/>
              <w:right w:val="nil"/>
            </w:tcBorders>
            <w:shd w:val="clear" w:color="auto" w:fill="auto"/>
            <w:vAlign w:val="center"/>
            <w:hideMark/>
          </w:tcPr>
          <w:p w:rsidR="00B77DE2" w:rsidRDefault="00B77DE2">
            <w:pPr>
              <w:rPr>
                <w:color w:val="414145"/>
                <w:sz w:val="20"/>
                <w:szCs w:val="20"/>
              </w:rPr>
            </w:pPr>
            <w:r>
              <w:rPr>
                <w:color w:val="414145"/>
                <w:sz w:val="20"/>
                <w:szCs w:val="20"/>
              </w:rPr>
              <w:lastRenderedPageBreak/>
              <w:t>Masa sredstava za plaće zaposlenih u jedinicama lokalne i područne (regionalne) samouprave ne smije iznositi više od 20% prihoda poslovanja jedinice ostvarenih u prethodnoj godini, umanjenih za prihode:</w:t>
            </w:r>
          </w:p>
        </w:tc>
        <w:tc>
          <w:tcPr>
            <w:tcW w:w="142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4.866.886,17    </w:t>
            </w:r>
          </w:p>
        </w:tc>
        <w:tc>
          <w:tcPr>
            <w:tcW w:w="142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5.723.097,00    </w:t>
            </w:r>
          </w:p>
        </w:tc>
        <w:tc>
          <w:tcPr>
            <w:tcW w:w="144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7.964.259,00    </w:t>
            </w:r>
          </w:p>
        </w:tc>
        <w:tc>
          <w:tcPr>
            <w:tcW w:w="140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7.903.312,57    </w:t>
            </w:r>
          </w:p>
        </w:tc>
      </w:tr>
      <w:tr w:rsidR="00B77DE2" w:rsidTr="00B77DE2">
        <w:trPr>
          <w:gridBefore w:val="1"/>
          <w:gridAfter w:val="1"/>
          <w:wBefore w:w="15" w:type="dxa"/>
          <w:wAfter w:w="1445" w:type="dxa"/>
          <w:trHeight w:val="255"/>
        </w:trPr>
        <w:tc>
          <w:tcPr>
            <w:tcW w:w="4020" w:type="dxa"/>
            <w:gridSpan w:val="4"/>
            <w:tcBorders>
              <w:top w:val="nil"/>
              <w:left w:val="nil"/>
              <w:bottom w:val="nil"/>
              <w:right w:val="nil"/>
            </w:tcBorders>
            <w:shd w:val="clear" w:color="auto" w:fill="auto"/>
            <w:vAlign w:val="center"/>
            <w:hideMark/>
          </w:tcPr>
          <w:p w:rsidR="00B77DE2" w:rsidRDefault="00B77DE2">
            <w:pPr>
              <w:rPr>
                <w:color w:val="414145"/>
                <w:sz w:val="20"/>
                <w:szCs w:val="20"/>
              </w:rPr>
            </w:pPr>
            <w:r>
              <w:rPr>
                <w:color w:val="414145"/>
                <w:sz w:val="20"/>
                <w:szCs w:val="20"/>
              </w:rPr>
              <w:t>– od domaćih i stranih pomoći i donacija, osim pomoći za preuzete državne službenike na temelju posebnog zakona,</w:t>
            </w:r>
          </w:p>
        </w:tc>
        <w:tc>
          <w:tcPr>
            <w:tcW w:w="142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1.682.707,64    </w:t>
            </w:r>
          </w:p>
        </w:tc>
        <w:tc>
          <w:tcPr>
            <w:tcW w:w="142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2.689.422,00    </w:t>
            </w:r>
          </w:p>
        </w:tc>
        <w:tc>
          <w:tcPr>
            <w:tcW w:w="144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1.870.202,00    </w:t>
            </w:r>
          </w:p>
        </w:tc>
        <w:tc>
          <w:tcPr>
            <w:tcW w:w="140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1.318.625,00    </w:t>
            </w:r>
          </w:p>
        </w:tc>
      </w:tr>
      <w:tr w:rsidR="00B77DE2" w:rsidTr="00B77DE2">
        <w:trPr>
          <w:gridBefore w:val="1"/>
          <w:gridAfter w:val="1"/>
          <w:wBefore w:w="15" w:type="dxa"/>
          <w:wAfter w:w="1445" w:type="dxa"/>
          <w:trHeight w:val="675"/>
        </w:trPr>
        <w:tc>
          <w:tcPr>
            <w:tcW w:w="4020" w:type="dxa"/>
            <w:gridSpan w:val="4"/>
            <w:tcBorders>
              <w:top w:val="nil"/>
              <w:left w:val="nil"/>
              <w:bottom w:val="nil"/>
              <w:right w:val="nil"/>
            </w:tcBorders>
            <w:shd w:val="clear" w:color="auto" w:fill="auto"/>
            <w:vAlign w:val="center"/>
            <w:hideMark/>
          </w:tcPr>
          <w:p w:rsidR="00B77DE2" w:rsidRDefault="00B77DE2">
            <w:pPr>
              <w:rPr>
                <w:color w:val="414145"/>
                <w:sz w:val="20"/>
                <w:szCs w:val="20"/>
              </w:rPr>
            </w:pPr>
            <w:r>
              <w:rPr>
                <w:color w:val="414145"/>
                <w:sz w:val="20"/>
                <w:szCs w:val="20"/>
              </w:rPr>
              <w:t>– iz posebnih ugovora: sufinanciranje građana za mjesnu samoupravu te</w:t>
            </w:r>
          </w:p>
        </w:tc>
        <w:tc>
          <w:tcPr>
            <w:tcW w:w="142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      </w:t>
            </w:r>
          </w:p>
        </w:tc>
        <w:tc>
          <w:tcPr>
            <w:tcW w:w="142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      </w:t>
            </w:r>
          </w:p>
        </w:tc>
        <w:tc>
          <w:tcPr>
            <w:tcW w:w="144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      </w:t>
            </w:r>
          </w:p>
        </w:tc>
        <w:tc>
          <w:tcPr>
            <w:tcW w:w="140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      </w:t>
            </w:r>
          </w:p>
        </w:tc>
      </w:tr>
      <w:tr w:rsidR="00B77DE2" w:rsidTr="00B77DE2">
        <w:trPr>
          <w:gridBefore w:val="1"/>
          <w:gridAfter w:val="1"/>
          <w:wBefore w:w="15" w:type="dxa"/>
          <w:wAfter w:w="1445" w:type="dxa"/>
          <w:trHeight w:val="780"/>
        </w:trPr>
        <w:tc>
          <w:tcPr>
            <w:tcW w:w="4020" w:type="dxa"/>
            <w:gridSpan w:val="4"/>
            <w:tcBorders>
              <w:top w:val="nil"/>
              <w:left w:val="nil"/>
              <w:bottom w:val="nil"/>
              <w:right w:val="nil"/>
            </w:tcBorders>
            <w:shd w:val="clear" w:color="auto" w:fill="auto"/>
            <w:vAlign w:val="center"/>
            <w:hideMark/>
          </w:tcPr>
          <w:p w:rsidR="00B77DE2" w:rsidRDefault="00B77DE2">
            <w:pPr>
              <w:rPr>
                <w:color w:val="414145"/>
                <w:sz w:val="20"/>
                <w:szCs w:val="20"/>
              </w:rPr>
            </w:pPr>
            <w:r>
              <w:rPr>
                <w:color w:val="414145"/>
                <w:sz w:val="20"/>
                <w:szCs w:val="20"/>
              </w:rPr>
              <w:t>– ostvarene s osnove dodatnog udjela u porezu na dohodak i pomoći izravnanja za financiranje decentraliziranih funkcija.</w:t>
            </w:r>
          </w:p>
        </w:tc>
        <w:tc>
          <w:tcPr>
            <w:tcW w:w="142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      </w:t>
            </w:r>
          </w:p>
        </w:tc>
        <w:tc>
          <w:tcPr>
            <w:tcW w:w="142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      </w:t>
            </w:r>
          </w:p>
        </w:tc>
        <w:tc>
          <w:tcPr>
            <w:tcW w:w="144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      </w:t>
            </w:r>
          </w:p>
        </w:tc>
        <w:tc>
          <w:tcPr>
            <w:tcW w:w="140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      </w:t>
            </w:r>
          </w:p>
        </w:tc>
      </w:tr>
      <w:tr w:rsidR="00B77DE2" w:rsidTr="00B77DE2">
        <w:trPr>
          <w:gridBefore w:val="1"/>
          <w:gridAfter w:val="1"/>
          <w:wBefore w:w="15" w:type="dxa"/>
          <w:wAfter w:w="1445" w:type="dxa"/>
          <w:trHeight w:val="255"/>
        </w:trPr>
        <w:tc>
          <w:tcPr>
            <w:tcW w:w="2060" w:type="dxa"/>
            <w:gridSpan w:val="2"/>
            <w:tcBorders>
              <w:top w:val="nil"/>
              <w:left w:val="nil"/>
              <w:bottom w:val="nil"/>
              <w:right w:val="nil"/>
            </w:tcBorders>
            <w:shd w:val="clear" w:color="auto" w:fill="auto"/>
            <w:noWrap/>
            <w:vAlign w:val="bottom"/>
            <w:hideMark/>
          </w:tcPr>
          <w:p w:rsidR="00B77DE2" w:rsidRDefault="00B77DE2">
            <w:pPr>
              <w:rPr>
                <w:sz w:val="18"/>
                <w:szCs w:val="18"/>
              </w:rPr>
            </w:pPr>
          </w:p>
        </w:tc>
        <w:tc>
          <w:tcPr>
            <w:tcW w:w="1960" w:type="dxa"/>
            <w:gridSpan w:val="2"/>
            <w:tcBorders>
              <w:top w:val="nil"/>
              <w:left w:val="nil"/>
              <w:bottom w:val="nil"/>
              <w:right w:val="nil"/>
            </w:tcBorders>
            <w:shd w:val="clear" w:color="auto" w:fill="auto"/>
            <w:noWrap/>
            <w:vAlign w:val="bottom"/>
            <w:hideMark/>
          </w:tcPr>
          <w:p w:rsidR="00B77DE2" w:rsidRDefault="00B77DE2">
            <w:pPr>
              <w:jc w:val="right"/>
              <w:rPr>
                <w:sz w:val="20"/>
                <w:szCs w:val="20"/>
              </w:rPr>
            </w:pPr>
            <w:r>
              <w:rPr>
                <w:sz w:val="20"/>
                <w:szCs w:val="20"/>
              </w:rPr>
              <w:t xml:space="preserve"> Osnovica </w:t>
            </w:r>
          </w:p>
        </w:tc>
        <w:tc>
          <w:tcPr>
            <w:tcW w:w="142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3.184.178,53    </w:t>
            </w:r>
          </w:p>
        </w:tc>
        <w:tc>
          <w:tcPr>
            <w:tcW w:w="142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3.033.675,00    </w:t>
            </w:r>
          </w:p>
        </w:tc>
        <w:tc>
          <w:tcPr>
            <w:tcW w:w="144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6.094.057,00    </w:t>
            </w:r>
          </w:p>
        </w:tc>
        <w:tc>
          <w:tcPr>
            <w:tcW w:w="140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6.584.687,57    </w:t>
            </w:r>
          </w:p>
        </w:tc>
      </w:tr>
      <w:tr w:rsidR="00B77DE2" w:rsidTr="00B77DE2">
        <w:trPr>
          <w:gridBefore w:val="1"/>
          <w:gridAfter w:val="1"/>
          <w:wBefore w:w="15" w:type="dxa"/>
          <w:wAfter w:w="1445" w:type="dxa"/>
          <w:trHeight w:val="255"/>
        </w:trPr>
        <w:tc>
          <w:tcPr>
            <w:tcW w:w="2060" w:type="dxa"/>
            <w:gridSpan w:val="2"/>
            <w:tcBorders>
              <w:top w:val="nil"/>
              <w:left w:val="nil"/>
              <w:bottom w:val="nil"/>
              <w:right w:val="nil"/>
            </w:tcBorders>
            <w:shd w:val="clear" w:color="auto" w:fill="auto"/>
            <w:noWrap/>
            <w:vAlign w:val="bottom"/>
            <w:hideMark/>
          </w:tcPr>
          <w:p w:rsidR="00B77DE2" w:rsidRDefault="00B77DE2">
            <w:pPr>
              <w:rPr>
                <w:sz w:val="18"/>
                <w:szCs w:val="18"/>
              </w:rPr>
            </w:pPr>
          </w:p>
        </w:tc>
        <w:tc>
          <w:tcPr>
            <w:tcW w:w="1960" w:type="dxa"/>
            <w:gridSpan w:val="2"/>
            <w:tcBorders>
              <w:top w:val="nil"/>
              <w:left w:val="nil"/>
              <w:bottom w:val="nil"/>
              <w:right w:val="nil"/>
            </w:tcBorders>
            <w:shd w:val="clear" w:color="auto" w:fill="auto"/>
            <w:noWrap/>
            <w:vAlign w:val="bottom"/>
            <w:hideMark/>
          </w:tcPr>
          <w:p w:rsidR="00B77DE2" w:rsidRDefault="00B77DE2">
            <w:pPr>
              <w:jc w:val="right"/>
              <w:rPr>
                <w:sz w:val="20"/>
                <w:szCs w:val="20"/>
              </w:rPr>
            </w:pPr>
            <w:r>
              <w:rPr>
                <w:sz w:val="20"/>
                <w:szCs w:val="20"/>
              </w:rPr>
              <w:t>20%</w:t>
            </w:r>
          </w:p>
        </w:tc>
        <w:tc>
          <w:tcPr>
            <w:tcW w:w="142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636.835,71    </w:t>
            </w:r>
          </w:p>
        </w:tc>
        <w:tc>
          <w:tcPr>
            <w:tcW w:w="142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606.735,00    </w:t>
            </w:r>
          </w:p>
        </w:tc>
        <w:tc>
          <w:tcPr>
            <w:tcW w:w="144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1.218.811,40    </w:t>
            </w:r>
          </w:p>
        </w:tc>
        <w:tc>
          <w:tcPr>
            <w:tcW w:w="1400" w:type="dxa"/>
            <w:gridSpan w:val="2"/>
            <w:tcBorders>
              <w:top w:val="nil"/>
              <w:left w:val="nil"/>
              <w:bottom w:val="nil"/>
              <w:right w:val="nil"/>
            </w:tcBorders>
            <w:shd w:val="clear" w:color="auto" w:fill="auto"/>
            <w:noWrap/>
            <w:vAlign w:val="bottom"/>
            <w:hideMark/>
          </w:tcPr>
          <w:p w:rsidR="00B77DE2" w:rsidRDefault="00B77DE2">
            <w:pPr>
              <w:rPr>
                <w:sz w:val="18"/>
                <w:szCs w:val="18"/>
              </w:rPr>
            </w:pPr>
            <w:r>
              <w:rPr>
                <w:sz w:val="18"/>
                <w:szCs w:val="18"/>
              </w:rPr>
              <w:t xml:space="preserve">    1.316.937,51    </w:t>
            </w:r>
          </w:p>
        </w:tc>
      </w:tr>
      <w:tr w:rsidR="00B77DE2" w:rsidTr="00B77DE2">
        <w:trPr>
          <w:gridBefore w:val="1"/>
          <w:gridAfter w:val="1"/>
          <w:wBefore w:w="15" w:type="dxa"/>
          <w:wAfter w:w="1445" w:type="dxa"/>
          <w:trHeight w:val="255"/>
        </w:trPr>
        <w:tc>
          <w:tcPr>
            <w:tcW w:w="4020" w:type="dxa"/>
            <w:gridSpan w:val="4"/>
            <w:tcBorders>
              <w:top w:val="nil"/>
              <w:left w:val="nil"/>
              <w:bottom w:val="nil"/>
              <w:right w:val="nil"/>
            </w:tcBorders>
            <w:shd w:val="clear" w:color="auto" w:fill="auto"/>
            <w:noWrap/>
            <w:vAlign w:val="bottom"/>
            <w:hideMark/>
          </w:tcPr>
          <w:p w:rsidR="00B77DE2" w:rsidRDefault="00B77DE2">
            <w:pPr>
              <w:rPr>
                <w:sz w:val="20"/>
                <w:szCs w:val="20"/>
              </w:rPr>
            </w:pPr>
            <w:r>
              <w:rPr>
                <w:sz w:val="20"/>
                <w:szCs w:val="20"/>
              </w:rPr>
              <w:t>Obračun  plaće - bez javnih radova</w:t>
            </w:r>
          </w:p>
        </w:tc>
        <w:tc>
          <w:tcPr>
            <w:tcW w:w="1420" w:type="dxa"/>
            <w:gridSpan w:val="2"/>
            <w:tcBorders>
              <w:top w:val="single" w:sz="4" w:space="0" w:color="3F3F3F"/>
              <w:left w:val="single" w:sz="4" w:space="0" w:color="3F3F3F"/>
              <w:bottom w:val="single" w:sz="4" w:space="0" w:color="3F3F3F"/>
              <w:right w:val="nil"/>
            </w:tcBorders>
            <w:shd w:val="clear" w:color="000000" w:fill="F2F2F2"/>
            <w:noWrap/>
            <w:vAlign w:val="bottom"/>
            <w:hideMark/>
          </w:tcPr>
          <w:p w:rsidR="00B77DE2" w:rsidRDefault="00B77DE2">
            <w:pPr>
              <w:rPr>
                <w:b/>
                <w:bCs/>
                <w:color w:val="3F3F3F"/>
                <w:sz w:val="18"/>
                <w:szCs w:val="18"/>
              </w:rPr>
            </w:pPr>
            <w:r>
              <w:rPr>
                <w:b/>
                <w:bCs/>
                <w:color w:val="3F3F3F"/>
                <w:sz w:val="18"/>
                <w:szCs w:val="18"/>
              </w:rPr>
              <w:t xml:space="preserve">        382.258,89    </w:t>
            </w:r>
          </w:p>
        </w:tc>
        <w:tc>
          <w:tcPr>
            <w:tcW w:w="1420" w:type="dxa"/>
            <w:gridSpan w:val="2"/>
            <w:tcBorders>
              <w:top w:val="single" w:sz="4" w:space="0" w:color="3F3F3F"/>
              <w:left w:val="single" w:sz="4" w:space="0" w:color="3F3F3F"/>
              <w:bottom w:val="single" w:sz="4" w:space="0" w:color="3F3F3F"/>
              <w:right w:val="nil"/>
            </w:tcBorders>
            <w:shd w:val="clear" w:color="000000" w:fill="F2F2F2"/>
            <w:noWrap/>
            <w:vAlign w:val="bottom"/>
            <w:hideMark/>
          </w:tcPr>
          <w:p w:rsidR="00B77DE2" w:rsidRDefault="00B77DE2">
            <w:pPr>
              <w:rPr>
                <w:b/>
                <w:bCs/>
                <w:color w:val="3F3F3F"/>
                <w:sz w:val="18"/>
                <w:szCs w:val="18"/>
              </w:rPr>
            </w:pPr>
            <w:r>
              <w:rPr>
                <w:b/>
                <w:bCs/>
                <w:color w:val="3F3F3F"/>
                <w:sz w:val="18"/>
                <w:szCs w:val="18"/>
              </w:rPr>
              <w:t xml:space="preserve">       382.258,89    </w:t>
            </w:r>
          </w:p>
        </w:tc>
        <w:tc>
          <w:tcPr>
            <w:tcW w:w="1440" w:type="dxa"/>
            <w:gridSpan w:val="2"/>
            <w:tcBorders>
              <w:top w:val="single" w:sz="4" w:space="0" w:color="3F3F3F"/>
              <w:left w:val="single" w:sz="4" w:space="0" w:color="3F3F3F"/>
              <w:bottom w:val="single" w:sz="4" w:space="0" w:color="3F3F3F"/>
              <w:right w:val="nil"/>
            </w:tcBorders>
            <w:shd w:val="clear" w:color="000000" w:fill="F2F2F2"/>
            <w:noWrap/>
            <w:vAlign w:val="bottom"/>
            <w:hideMark/>
          </w:tcPr>
          <w:p w:rsidR="00B77DE2" w:rsidRDefault="00B77DE2">
            <w:pPr>
              <w:rPr>
                <w:b/>
                <w:bCs/>
                <w:color w:val="3F3F3F"/>
                <w:sz w:val="18"/>
                <w:szCs w:val="18"/>
              </w:rPr>
            </w:pPr>
            <w:r>
              <w:rPr>
                <w:b/>
                <w:bCs/>
                <w:color w:val="3F3F3F"/>
                <w:sz w:val="18"/>
                <w:szCs w:val="18"/>
              </w:rPr>
              <w:t xml:space="preserve">        533.167,00    </w:t>
            </w:r>
          </w:p>
        </w:tc>
        <w:tc>
          <w:tcPr>
            <w:tcW w:w="1400" w:type="dxa"/>
            <w:gridSpan w:val="2"/>
            <w:tcBorders>
              <w:top w:val="single" w:sz="4" w:space="0" w:color="3F3F3F"/>
              <w:left w:val="single" w:sz="4" w:space="0" w:color="3F3F3F"/>
              <w:bottom w:val="single" w:sz="4" w:space="0" w:color="3F3F3F"/>
              <w:right w:val="nil"/>
            </w:tcBorders>
            <w:shd w:val="clear" w:color="000000" w:fill="F2F2F2"/>
            <w:noWrap/>
            <w:vAlign w:val="bottom"/>
            <w:hideMark/>
          </w:tcPr>
          <w:p w:rsidR="00B77DE2" w:rsidRDefault="00B77DE2">
            <w:pPr>
              <w:rPr>
                <w:b/>
                <w:bCs/>
                <w:color w:val="3F3F3F"/>
                <w:sz w:val="18"/>
                <w:szCs w:val="18"/>
              </w:rPr>
            </w:pPr>
            <w:r>
              <w:rPr>
                <w:b/>
                <w:bCs/>
                <w:color w:val="3F3F3F"/>
                <w:sz w:val="18"/>
                <w:szCs w:val="18"/>
              </w:rPr>
              <w:t xml:space="preserve">       610.011,32    </w:t>
            </w:r>
          </w:p>
        </w:tc>
      </w:tr>
      <w:tr w:rsidR="00B77DE2" w:rsidTr="00B77DE2">
        <w:trPr>
          <w:gridBefore w:val="1"/>
          <w:gridAfter w:val="1"/>
          <w:wBefore w:w="15" w:type="dxa"/>
          <w:wAfter w:w="1445" w:type="dxa"/>
          <w:trHeight w:val="255"/>
        </w:trPr>
        <w:tc>
          <w:tcPr>
            <w:tcW w:w="2060" w:type="dxa"/>
            <w:gridSpan w:val="2"/>
            <w:tcBorders>
              <w:top w:val="nil"/>
              <w:left w:val="nil"/>
              <w:bottom w:val="nil"/>
              <w:right w:val="nil"/>
            </w:tcBorders>
            <w:shd w:val="clear" w:color="auto" w:fill="auto"/>
            <w:noWrap/>
            <w:vAlign w:val="bottom"/>
            <w:hideMark/>
          </w:tcPr>
          <w:p w:rsidR="00B77DE2" w:rsidRDefault="00B77DE2">
            <w:pPr>
              <w:rPr>
                <w:sz w:val="20"/>
                <w:szCs w:val="20"/>
              </w:rPr>
            </w:pPr>
            <w:r>
              <w:rPr>
                <w:sz w:val="20"/>
                <w:szCs w:val="20"/>
              </w:rPr>
              <w:t>u postotku</w:t>
            </w:r>
          </w:p>
        </w:tc>
        <w:tc>
          <w:tcPr>
            <w:tcW w:w="1960" w:type="dxa"/>
            <w:gridSpan w:val="2"/>
            <w:tcBorders>
              <w:top w:val="nil"/>
              <w:left w:val="nil"/>
              <w:bottom w:val="nil"/>
              <w:right w:val="nil"/>
            </w:tcBorders>
            <w:shd w:val="clear" w:color="auto" w:fill="auto"/>
            <w:noWrap/>
            <w:vAlign w:val="bottom"/>
            <w:hideMark/>
          </w:tcPr>
          <w:p w:rsidR="00B77DE2" w:rsidRDefault="00B77DE2">
            <w:pPr>
              <w:rPr>
                <w:sz w:val="20"/>
                <w:szCs w:val="20"/>
              </w:rPr>
            </w:pPr>
          </w:p>
        </w:tc>
        <w:tc>
          <w:tcPr>
            <w:tcW w:w="1420" w:type="dxa"/>
            <w:gridSpan w:val="2"/>
            <w:tcBorders>
              <w:top w:val="nil"/>
              <w:left w:val="nil"/>
              <w:bottom w:val="nil"/>
              <w:right w:val="nil"/>
            </w:tcBorders>
            <w:shd w:val="clear" w:color="auto" w:fill="auto"/>
            <w:noWrap/>
            <w:vAlign w:val="bottom"/>
            <w:hideMark/>
          </w:tcPr>
          <w:p w:rsidR="00B77DE2" w:rsidRDefault="00B77DE2">
            <w:pPr>
              <w:jc w:val="right"/>
              <w:rPr>
                <w:sz w:val="18"/>
                <w:szCs w:val="18"/>
              </w:rPr>
            </w:pPr>
            <w:r>
              <w:rPr>
                <w:sz w:val="18"/>
                <w:szCs w:val="18"/>
              </w:rPr>
              <w:t>12,005%</w:t>
            </w:r>
          </w:p>
        </w:tc>
        <w:tc>
          <w:tcPr>
            <w:tcW w:w="1420" w:type="dxa"/>
            <w:gridSpan w:val="2"/>
            <w:tcBorders>
              <w:top w:val="nil"/>
              <w:left w:val="nil"/>
              <w:bottom w:val="nil"/>
              <w:right w:val="nil"/>
            </w:tcBorders>
            <w:shd w:val="clear" w:color="auto" w:fill="auto"/>
            <w:noWrap/>
            <w:vAlign w:val="bottom"/>
            <w:hideMark/>
          </w:tcPr>
          <w:p w:rsidR="00B77DE2" w:rsidRDefault="00B77DE2">
            <w:pPr>
              <w:jc w:val="right"/>
              <w:rPr>
                <w:sz w:val="18"/>
                <w:szCs w:val="18"/>
              </w:rPr>
            </w:pPr>
            <w:r>
              <w:rPr>
                <w:sz w:val="18"/>
                <w:szCs w:val="18"/>
              </w:rPr>
              <w:t>12,601%</w:t>
            </w:r>
          </w:p>
        </w:tc>
        <w:tc>
          <w:tcPr>
            <w:tcW w:w="1440" w:type="dxa"/>
            <w:gridSpan w:val="2"/>
            <w:tcBorders>
              <w:top w:val="nil"/>
              <w:left w:val="nil"/>
              <w:bottom w:val="nil"/>
              <w:right w:val="nil"/>
            </w:tcBorders>
            <w:shd w:val="clear" w:color="auto" w:fill="auto"/>
            <w:noWrap/>
            <w:vAlign w:val="bottom"/>
            <w:hideMark/>
          </w:tcPr>
          <w:p w:rsidR="00B77DE2" w:rsidRDefault="00B77DE2">
            <w:pPr>
              <w:jc w:val="right"/>
              <w:rPr>
                <w:sz w:val="18"/>
                <w:szCs w:val="18"/>
              </w:rPr>
            </w:pPr>
            <w:r>
              <w:rPr>
                <w:sz w:val="18"/>
                <w:szCs w:val="18"/>
              </w:rPr>
              <w:t>8,749%</w:t>
            </w:r>
          </w:p>
        </w:tc>
        <w:tc>
          <w:tcPr>
            <w:tcW w:w="1400" w:type="dxa"/>
            <w:gridSpan w:val="2"/>
            <w:tcBorders>
              <w:top w:val="nil"/>
              <w:left w:val="nil"/>
              <w:bottom w:val="nil"/>
              <w:right w:val="nil"/>
            </w:tcBorders>
            <w:shd w:val="clear" w:color="auto" w:fill="auto"/>
            <w:noWrap/>
            <w:vAlign w:val="bottom"/>
            <w:hideMark/>
          </w:tcPr>
          <w:p w:rsidR="00B77DE2" w:rsidRDefault="00B77DE2">
            <w:pPr>
              <w:jc w:val="right"/>
              <w:rPr>
                <w:sz w:val="18"/>
                <w:szCs w:val="18"/>
              </w:rPr>
            </w:pPr>
            <w:r>
              <w:rPr>
                <w:sz w:val="18"/>
                <w:szCs w:val="18"/>
              </w:rPr>
              <w:t>9,264%</w:t>
            </w:r>
          </w:p>
        </w:tc>
      </w:tr>
      <w:tr w:rsidR="00B77DE2" w:rsidTr="00B77DE2">
        <w:trPr>
          <w:gridBefore w:val="1"/>
          <w:gridAfter w:val="1"/>
          <w:wBefore w:w="15" w:type="dxa"/>
          <w:wAfter w:w="1445" w:type="dxa"/>
          <w:trHeight w:val="855"/>
        </w:trPr>
        <w:tc>
          <w:tcPr>
            <w:tcW w:w="9700" w:type="dxa"/>
            <w:gridSpan w:val="12"/>
            <w:tcBorders>
              <w:top w:val="nil"/>
              <w:left w:val="nil"/>
              <w:bottom w:val="nil"/>
              <w:right w:val="nil"/>
            </w:tcBorders>
            <w:shd w:val="clear" w:color="auto" w:fill="auto"/>
            <w:vAlign w:val="bottom"/>
            <w:hideMark/>
          </w:tcPr>
          <w:p w:rsidR="00B77DE2" w:rsidRDefault="00B77DE2">
            <w:r>
              <w:t>Neutrošena sredstva (žiro račun i blagajna ) na početku obračunskog razdoblja iznosila su 2.483.897,28 kuna, a krajem obračunskog razdoblja iznose 1.843.134,06  kuna.</w:t>
            </w:r>
          </w:p>
        </w:tc>
      </w:tr>
      <w:tr w:rsidR="00B77DE2" w:rsidTr="00B77DE2">
        <w:trPr>
          <w:gridBefore w:val="1"/>
          <w:gridAfter w:val="1"/>
          <w:wBefore w:w="15" w:type="dxa"/>
          <w:wAfter w:w="1445" w:type="dxa"/>
          <w:trHeight w:val="990"/>
        </w:trPr>
        <w:tc>
          <w:tcPr>
            <w:tcW w:w="9700" w:type="dxa"/>
            <w:gridSpan w:val="12"/>
            <w:tcBorders>
              <w:top w:val="nil"/>
              <w:left w:val="nil"/>
              <w:bottom w:val="nil"/>
              <w:right w:val="nil"/>
            </w:tcBorders>
            <w:shd w:val="clear" w:color="auto" w:fill="auto"/>
            <w:vAlign w:val="bottom"/>
            <w:hideMark/>
          </w:tcPr>
          <w:p w:rsidR="00B77DE2" w:rsidRDefault="00B77DE2">
            <w:r>
              <w:t>Navedena stanja sredstava na početku i na kraju obračunskog razdoblja sadrže sredstva Hrvatskih voda d.d. za koje se ubire naknada za uređenje voda (10.551,93 kn), a ne iskazuje se niti u prihodima, niti u rashodima proračuna.</w:t>
            </w:r>
          </w:p>
        </w:tc>
      </w:tr>
      <w:tr w:rsidR="00B77DE2" w:rsidTr="00B77DE2">
        <w:trPr>
          <w:gridBefore w:val="1"/>
          <w:gridAfter w:val="1"/>
          <w:wBefore w:w="15" w:type="dxa"/>
          <w:wAfter w:w="1445" w:type="dxa"/>
          <w:trHeight w:val="3150"/>
        </w:trPr>
        <w:tc>
          <w:tcPr>
            <w:tcW w:w="9700" w:type="dxa"/>
            <w:gridSpan w:val="12"/>
            <w:tcBorders>
              <w:top w:val="nil"/>
              <w:left w:val="nil"/>
              <w:bottom w:val="nil"/>
              <w:right w:val="nil"/>
            </w:tcBorders>
            <w:shd w:val="clear" w:color="auto" w:fill="auto"/>
            <w:vAlign w:val="bottom"/>
            <w:hideMark/>
          </w:tcPr>
          <w:p w:rsidR="00B77DE2" w:rsidRDefault="00B77DE2">
            <w:r>
              <w:t>Stanje nepodmirenih obveza na početku godine iznosilo je 578.423,00 kuna, a na kraju obračunskog razdoblja iznosi 471.448,00 kn. 105.097,77 kuna obveze prema Hrvatskim vodama koje se tiču nenaplaćenih prihoda od naknade za uređenje voda po odaslanim uplatnicama zajedno s komunalnom naknadom,  i za tuđe prihode (legalizacija) - 15.123,12 kn. Obveze za zaposlene iznose 47.530,90, obveze za sufinanciranje dječjeg vrtića iznose 44.293,14 kn, obveze za nabavu nefinancijske imovine iznose, 213.142,51 kn, a ostali rashodi su u iznosu od 46.260,56 kn. Od svih  navedenih obveza obveze u iznosu od 470.248,00 kn su nedospjele obveze na kraju izvještajnog razdoblja kojima je dospijeće u 01/2020. godine. Dospjele obveze iznose1.200,00 kn, te su podmirene u siječnju 2020. godine</w:t>
            </w:r>
          </w:p>
        </w:tc>
      </w:tr>
      <w:tr w:rsidR="00B77DE2" w:rsidTr="00B77DE2">
        <w:trPr>
          <w:gridBefore w:val="1"/>
          <w:gridAfter w:val="1"/>
          <w:wBefore w:w="15" w:type="dxa"/>
          <w:wAfter w:w="1445" w:type="dxa"/>
          <w:trHeight w:val="1470"/>
        </w:trPr>
        <w:tc>
          <w:tcPr>
            <w:tcW w:w="9700" w:type="dxa"/>
            <w:gridSpan w:val="12"/>
            <w:tcBorders>
              <w:top w:val="nil"/>
              <w:left w:val="nil"/>
              <w:bottom w:val="nil"/>
              <w:right w:val="nil"/>
            </w:tcBorders>
            <w:shd w:val="clear" w:color="auto" w:fill="auto"/>
            <w:vAlign w:val="bottom"/>
            <w:hideMark/>
          </w:tcPr>
          <w:p w:rsidR="00B77DE2" w:rsidRDefault="00B77DE2">
            <w:r>
              <w:t>Rashodi za zdravstvene i veterinarske usluge su se u 2019. godini višestruko smanjili  te iznose 63.275,00. Razlog tome je što je  Općina Orehovica u 2018. godini  provodila projekt sterilizacije pasa, te je projektom obuhvatila zbrinjavanje i sterilizaciju i liječenje većine pasa u romskom naselju. U 2019. godini takova masovna sterilizacija nije bila provedena.</w:t>
            </w:r>
          </w:p>
        </w:tc>
      </w:tr>
      <w:tr w:rsidR="00B77DE2" w:rsidTr="00B77DE2">
        <w:trPr>
          <w:gridBefore w:val="1"/>
          <w:gridAfter w:val="1"/>
          <w:wBefore w:w="15" w:type="dxa"/>
          <w:wAfter w:w="1445" w:type="dxa"/>
          <w:trHeight w:val="3510"/>
        </w:trPr>
        <w:tc>
          <w:tcPr>
            <w:tcW w:w="9700" w:type="dxa"/>
            <w:gridSpan w:val="12"/>
            <w:tcBorders>
              <w:top w:val="nil"/>
              <w:left w:val="nil"/>
              <w:bottom w:val="nil"/>
              <w:right w:val="nil"/>
            </w:tcBorders>
            <w:shd w:val="clear" w:color="auto" w:fill="auto"/>
            <w:vAlign w:val="bottom"/>
            <w:hideMark/>
          </w:tcPr>
          <w:p w:rsidR="00B77DE2" w:rsidRDefault="00B77DE2">
            <w:r>
              <w:t>Do promjene vrijednosti imovine i obveza došlo je i na strani povećanja i na strani smanjenja vrijednosti ili obujma imovine . Naim, u 2019. godini Općina Orehovica je na osnovu službenih podataka  o završenim postupcima likvidacije ili zatvaranja nekoliko radnji  bila primorana otpisati potraživanja u iznosu od 32.647,00 kn. Isto tako zbog dotrajalosti opreme za rad u parku i vrtu, otpisana je oprema u iznosu od 1.131,00 kn, što je i potvrdila inventurna komisija. Nadalje, u 2019. godini Općina je od države dobila nekoliko čestica čija je procijenjena vrijednost iznosila 6.262.000,00 kn. Isto tako komisija za procjenu imovine izvršila je procjenu vrijednosti zemljišta nogometnih terena u Orehovici i Podbrestu, te ih procijenila na vrijednost od 339.320,00 kn, što je i uvedeno u bilancu općine Orehovica. U bilancu je uvedena i darovana rasvjeta NK Croatia Orehovica koju je izgradnju većim dijelom sufinancirala općina, a manjim dijelom HOO (70.000,00 kn). Vrijednost rasvjete je 195.640,00 kn.</w:t>
            </w:r>
          </w:p>
        </w:tc>
      </w:tr>
      <w:tr w:rsidR="00B77DE2" w:rsidTr="00B77DE2">
        <w:trPr>
          <w:gridBefore w:val="1"/>
          <w:gridAfter w:val="1"/>
          <w:wBefore w:w="15" w:type="dxa"/>
          <w:wAfter w:w="1445" w:type="dxa"/>
          <w:trHeight w:val="690"/>
        </w:trPr>
        <w:tc>
          <w:tcPr>
            <w:tcW w:w="9700" w:type="dxa"/>
            <w:gridSpan w:val="12"/>
            <w:tcBorders>
              <w:top w:val="nil"/>
              <w:left w:val="nil"/>
              <w:bottom w:val="nil"/>
              <w:right w:val="nil"/>
            </w:tcBorders>
            <w:shd w:val="clear" w:color="auto" w:fill="auto"/>
            <w:vAlign w:val="bottom"/>
            <w:hideMark/>
          </w:tcPr>
          <w:p w:rsidR="00B77DE2" w:rsidRDefault="00B77DE2">
            <w:r>
              <w:t xml:space="preserve">Tijekom izvještajnog razdoblja općina nije imala prihode od vlastite djelatnosti, jer nema ustrojenu takvu djelatnost. Općina nije davala nikakve zajmove. </w:t>
            </w:r>
          </w:p>
        </w:tc>
      </w:tr>
    </w:tbl>
    <w:p w:rsidR="001A1D73" w:rsidRDefault="001A1D73" w:rsidP="00977555">
      <w:pPr>
        <w:pStyle w:val="NormalWeb"/>
        <w:spacing w:before="0" w:beforeAutospacing="0" w:after="0" w:afterAutospacing="0"/>
        <w:rPr>
          <w:b/>
          <w:sz w:val="26"/>
          <w:szCs w:val="26"/>
          <w:u w:val="single"/>
        </w:rPr>
      </w:pPr>
    </w:p>
    <w:sectPr w:rsidR="001A1D73" w:rsidSect="007A3BD1">
      <w:pgSz w:w="11906" w:h="16838"/>
      <w:pgMar w:top="720" w:right="284" w:bottom="72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4795_"/>
      </v:shape>
    </w:pict>
  </w:numPicBullet>
  <w:abstractNum w:abstractNumId="0" w15:restartNumberingAfterBreak="0">
    <w:nsid w:val="082C310B"/>
    <w:multiLevelType w:val="hybridMultilevel"/>
    <w:tmpl w:val="73CA7C98"/>
    <w:lvl w:ilvl="0" w:tplc="53F69154">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E25E6"/>
    <w:multiLevelType w:val="hybridMultilevel"/>
    <w:tmpl w:val="4CDC10C6"/>
    <w:lvl w:ilvl="0" w:tplc="53F69154">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E3286"/>
    <w:multiLevelType w:val="hybridMultilevel"/>
    <w:tmpl w:val="1BE455F2"/>
    <w:lvl w:ilvl="0" w:tplc="5C9AD984">
      <w:start w:val="1"/>
      <w:numFmt w:val="bullet"/>
      <w:lvlText w:val=""/>
      <w:lvlJc w:val="left"/>
      <w:pPr>
        <w:tabs>
          <w:tab w:val="num" w:pos="927"/>
        </w:tabs>
        <w:ind w:left="927"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21BF2"/>
    <w:multiLevelType w:val="hybridMultilevel"/>
    <w:tmpl w:val="688C2770"/>
    <w:lvl w:ilvl="0" w:tplc="5C9AD984">
      <w:start w:val="1"/>
      <w:numFmt w:val="bullet"/>
      <w:lvlText w:val=""/>
      <w:lvlJc w:val="left"/>
      <w:pPr>
        <w:tabs>
          <w:tab w:val="num" w:pos="927"/>
        </w:tabs>
        <w:ind w:left="927"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8598E"/>
    <w:multiLevelType w:val="hybridMultilevel"/>
    <w:tmpl w:val="7130A962"/>
    <w:lvl w:ilvl="0" w:tplc="FD0A117C">
      <w:start w:val="1"/>
      <w:numFmt w:val="bullet"/>
      <w:lvlText w:val=""/>
      <w:lvlPicBulletId w:val="0"/>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73169"/>
    <w:multiLevelType w:val="hybridMultilevel"/>
    <w:tmpl w:val="88DE1D36"/>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423C6"/>
    <w:multiLevelType w:val="hybridMultilevel"/>
    <w:tmpl w:val="2DF43CAC"/>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F81D9B"/>
    <w:multiLevelType w:val="multilevel"/>
    <w:tmpl w:val="7130A96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2B0612"/>
    <w:multiLevelType w:val="hybridMultilevel"/>
    <w:tmpl w:val="39A497A6"/>
    <w:lvl w:ilvl="0" w:tplc="5C9AD984">
      <w:start w:val="1"/>
      <w:numFmt w:val="bullet"/>
      <w:lvlText w:val=""/>
      <w:lvlJc w:val="left"/>
      <w:pPr>
        <w:tabs>
          <w:tab w:val="num" w:pos="927"/>
        </w:tabs>
        <w:ind w:left="927"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432296"/>
    <w:multiLevelType w:val="hybridMultilevel"/>
    <w:tmpl w:val="E1425472"/>
    <w:lvl w:ilvl="0" w:tplc="5C9AD984">
      <w:start w:val="1"/>
      <w:numFmt w:val="bullet"/>
      <w:lvlText w:val=""/>
      <w:lvlJc w:val="left"/>
      <w:pPr>
        <w:tabs>
          <w:tab w:val="num" w:pos="927"/>
        </w:tabs>
        <w:ind w:left="927"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8E0382"/>
    <w:multiLevelType w:val="multilevel"/>
    <w:tmpl w:val="73CA7C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C6682"/>
    <w:multiLevelType w:val="hybridMultilevel"/>
    <w:tmpl w:val="AF8ACAC8"/>
    <w:lvl w:ilvl="0" w:tplc="53F69154">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E1161"/>
    <w:multiLevelType w:val="multilevel"/>
    <w:tmpl w:val="7130A96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5333C"/>
    <w:multiLevelType w:val="hybridMultilevel"/>
    <w:tmpl w:val="A5320446"/>
    <w:lvl w:ilvl="0" w:tplc="5C9AD984">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AF6188"/>
    <w:multiLevelType w:val="hybridMultilevel"/>
    <w:tmpl w:val="E7E4A8F8"/>
    <w:lvl w:ilvl="0" w:tplc="5C9AD984">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0"/>
  </w:num>
  <w:num w:numId="4">
    <w:abstractNumId w:val="10"/>
  </w:num>
  <w:num w:numId="5">
    <w:abstractNumId w:val="6"/>
  </w:num>
  <w:num w:numId="6">
    <w:abstractNumId w:val="5"/>
  </w:num>
  <w:num w:numId="7">
    <w:abstractNumId w:val="4"/>
  </w:num>
  <w:num w:numId="8">
    <w:abstractNumId w:val="12"/>
  </w:num>
  <w:num w:numId="9">
    <w:abstractNumId w:val="13"/>
  </w:num>
  <w:num w:numId="10">
    <w:abstractNumId w:val="7"/>
  </w:num>
  <w:num w:numId="11">
    <w:abstractNumId w:val="14"/>
  </w:num>
  <w:num w:numId="12">
    <w:abstractNumId w:val="8"/>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E9"/>
    <w:rsid w:val="000028B7"/>
    <w:rsid w:val="00034638"/>
    <w:rsid w:val="000430BB"/>
    <w:rsid w:val="00051286"/>
    <w:rsid w:val="000834DF"/>
    <w:rsid w:val="00087D50"/>
    <w:rsid w:val="000A7BF7"/>
    <w:rsid w:val="000D6B6D"/>
    <w:rsid w:val="000F061D"/>
    <w:rsid w:val="00105AE0"/>
    <w:rsid w:val="0013436B"/>
    <w:rsid w:val="00164716"/>
    <w:rsid w:val="001976BF"/>
    <w:rsid w:val="001A1D73"/>
    <w:rsid w:val="001B2725"/>
    <w:rsid w:val="001D67DF"/>
    <w:rsid w:val="001F7683"/>
    <w:rsid w:val="00200D86"/>
    <w:rsid w:val="00237A85"/>
    <w:rsid w:val="00287FF9"/>
    <w:rsid w:val="002E0B4A"/>
    <w:rsid w:val="002F5790"/>
    <w:rsid w:val="0031589A"/>
    <w:rsid w:val="003418E6"/>
    <w:rsid w:val="003505AD"/>
    <w:rsid w:val="00391F9B"/>
    <w:rsid w:val="00395067"/>
    <w:rsid w:val="003C5B08"/>
    <w:rsid w:val="003D00FD"/>
    <w:rsid w:val="003D3F11"/>
    <w:rsid w:val="003D5D52"/>
    <w:rsid w:val="00401B38"/>
    <w:rsid w:val="004313BC"/>
    <w:rsid w:val="004641BA"/>
    <w:rsid w:val="00464EAA"/>
    <w:rsid w:val="00495077"/>
    <w:rsid w:val="004A5BB7"/>
    <w:rsid w:val="004A7C7B"/>
    <w:rsid w:val="00514B1D"/>
    <w:rsid w:val="0053018B"/>
    <w:rsid w:val="005305BA"/>
    <w:rsid w:val="00532817"/>
    <w:rsid w:val="00591E84"/>
    <w:rsid w:val="005C2668"/>
    <w:rsid w:val="005C5899"/>
    <w:rsid w:val="005D26BE"/>
    <w:rsid w:val="0060506E"/>
    <w:rsid w:val="00643F5E"/>
    <w:rsid w:val="0068701B"/>
    <w:rsid w:val="006E0C31"/>
    <w:rsid w:val="007058E2"/>
    <w:rsid w:val="00714CD5"/>
    <w:rsid w:val="007528D7"/>
    <w:rsid w:val="007668F8"/>
    <w:rsid w:val="007745F5"/>
    <w:rsid w:val="00783EF3"/>
    <w:rsid w:val="007A3BD1"/>
    <w:rsid w:val="007B6026"/>
    <w:rsid w:val="00800089"/>
    <w:rsid w:val="0080563A"/>
    <w:rsid w:val="00820EB3"/>
    <w:rsid w:val="00834144"/>
    <w:rsid w:val="0084439F"/>
    <w:rsid w:val="00845DB7"/>
    <w:rsid w:val="00882A88"/>
    <w:rsid w:val="008B0FE8"/>
    <w:rsid w:val="008E0E10"/>
    <w:rsid w:val="00914A09"/>
    <w:rsid w:val="009212FF"/>
    <w:rsid w:val="00921FC5"/>
    <w:rsid w:val="009237AE"/>
    <w:rsid w:val="00946634"/>
    <w:rsid w:val="0096293B"/>
    <w:rsid w:val="00962F18"/>
    <w:rsid w:val="00975725"/>
    <w:rsid w:val="00977555"/>
    <w:rsid w:val="009B1463"/>
    <w:rsid w:val="009F02E4"/>
    <w:rsid w:val="00A322E7"/>
    <w:rsid w:val="00A61F2D"/>
    <w:rsid w:val="00AC2D9A"/>
    <w:rsid w:val="00AE369F"/>
    <w:rsid w:val="00AE6565"/>
    <w:rsid w:val="00B21732"/>
    <w:rsid w:val="00B2450D"/>
    <w:rsid w:val="00B26F50"/>
    <w:rsid w:val="00B77DE2"/>
    <w:rsid w:val="00B82758"/>
    <w:rsid w:val="00B96B55"/>
    <w:rsid w:val="00BC2AF4"/>
    <w:rsid w:val="00BF2E07"/>
    <w:rsid w:val="00BF7DD8"/>
    <w:rsid w:val="00C01140"/>
    <w:rsid w:val="00C44A96"/>
    <w:rsid w:val="00C5347A"/>
    <w:rsid w:val="00C6251D"/>
    <w:rsid w:val="00C72503"/>
    <w:rsid w:val="00C92A82"/>
    <w:rsid w:val="00CA1A74"/>
    <w:rsid w:val="00CA40D5"/>
    <w:rsid w:val="00CB614A"/>
    <w:rsid w:val="00CC314A"/>
    <w:rsid w:val="00CD3409"/>
    <w:rsid w:val="00CD42CD"/>
    <w:rsid w:val="00D04832"/>
    <w:rsid w:val="00D317FB"/>
    <w:rsid w:val="00D50C80"/>
    <w:rsid w:val="00D6547C"/>
    <w:rsid w:val="00D7397F"/>
    <w:rsid w:val="00D80B81"/>
    <w:rsid w:val="00D92A0F"/>
    <w:rsid w:val="00DC1FCB"/>
    <w:rsid w:val="00DF079A"/>
    <w:rsid w:val="00E15E07"/>
    <w:rsid w:val="00E17B7D"/>
    <w:rsid w:val="00E75C70"/>
    <w:rsid w:val="00E77BEC"/>
    <w:rsid w:val="00E83221"/>
    <w:rsid w:val="00E91E57"/>
    <w:rsid w:val="00EA1088"/>
    <w:rsid w:val="00EB163A"/>
    <w:rsid w:val="00EE6F14"/>
    <w:rsid w:val="00F10248"/>
    <w:rsid w:val="00F155A2"/>
    <w:rsid w:val="00F20E2E"/>
    <w:rsid w:val="00F52FC8"/>
    <w:rsid w:val="00F70BB6"/>
    <w:rsid w:val="00F81EE9"/>
    <w:rsid w:val="00FA46B6"/>
    <w:rsid w:val="00FB2103"/>
    <w:rsid w:val="00FC7BD3"/>
    <w:rsid w:val="00FD53EC"/>
    <w:rsid w:val="00FD6D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2CC8010-04AD-453D-BAE0-D01197CA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F81EE9"/>
    <w:pPr>
      <w:spacing w:before="100" w:beforeAutospacing="1" w:after="100" w:afterAutospacing="1"/>
      <w:outlineLvl w:val="1"/>
    </w:pPr>
    <w:rPr>
      <w:b/>
      <w:bCs/>
      <w:sz w:val="36"/>
      <w:szCs w:val="36"/>
    </w:rPr>
  </w:style>
  <w:style w:type="paragraph" w:styleId="Heading3">
    <w:name w:val="heading 3"/>
    <w:basedOn w:val="Normal"/>
    <w:qFormat/>
    <w:rsid w:val="00F81EE9"/>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81EE9"/>
    <w:pPr>
      <w:spacing w:before="100" w:beforeAutospacing="1" w:after="100" w:afterAutospacing="1"/>
    </w:pPr>
  </w:style>
  <w:style w:type="paragraph" w:styleId="BalloonText">
    <w:name w:val="Balloon Text"/>
    <w:basedOn w:val="Normal"/>
    <w:semiHidden/>
    <w:rsid w:val="00CD4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2277">
      <w:bodyDiv w:val="1"/>
      <w:marLeft w:val="0"/>
      <w:marRight w:val="0"/>
      <w:marTop w:val="0"/>
      <w:marBottom w:val="0"/>
      <w:divBdr>
        <w:top w:val="none" w:sz="0" w:space="0" w:color="auto"/>
        <w:left w:val="none" w:sz="0" w:space="0" w:color="auto"/>
        <w:bottom w:val="none" w:sz="0" w:space="0" w:color="auto"/>
        <w:right w:val="none" w:sz="0" w:space="0" w:color="auto"/>
      </w:divBdr>
    </w:div>
    <w:div w:id="269776367">
      <w:bodyDiv w:val="1"/>
      <w:marLeft w:val="0"/>
      <w:marRight w:val="0"/>
      <w:marTop w:val="0"/>
      <w:marBottom w:val="0"/>
      <w:divBdr>
        <w:top w:val="none" w:sz="0" w:space="0" w:color="auto"/>
        <w:left w:val="none" w:sz="0" w:space="0" w:color="auto"/>
        <w:bottom w:val="none" w:sz="0" w:space="0" w:color="auto"/>
        <w:right w:val="none" w:sz="0" w:space="0" w:color="auto"/>
      </w:divBdr>
    </w:div>
    <w:div w:id="351614397">
      <w:bodyDiv w:val="1"/>
      <w:marLeft w:val="0"/>
      <w:marRight w:val="0"/>
      <w:marTop w:val="0"/>
      <w:marBottom w:val="0"/>
      <w:divBdr>
        <w:top w:val="none" w:sz="0" w:space="0" w:color="auto"/>
        <w:left w:val="none" w:sz="0" w:space="0" w:color="auto"/>
        <w:bottom w:val="none" w:sz="0" w:space="0" w:color="auto"/>
        <w:right w:val="none" w:sz="0" w:space="0" w:color="auto"/>
      </w:divBdr>
    </w:div>
    <w:div w:id="399058253">
      <w:bodyDiv w:val="1"/>
      <w:marLeft w:val="0"/>
      <w:marRight w:val="0"/>
      <w:marTop w:val="0"/>
      <w:marBottom w:val="0"/>
      <w:divBdr>
        <w:top w:val="none" w:sz="0" w:space="0" w:color="auto"/>
        <w:left w:val="none" w:sz="0" w:space="0" w:color="auto"/>
        <w:bottom w:val="none" w:sz="0" w:space="0" w:color="auto"/>
        <w:right w:val="none" w:sz="0" w:space="0" w:color="auto"/>
      </w:divBdr>
    </w:div>
    <w:div w:id="518468199">
      <w:bodyDiv w:val="1"/>
      <w:marLeft w:val="0"/>
      <w:marRight w:val="0"/>
      <w:marTop w:val="0"/>
      <w:marBottom w:val="0"/>
      <w:divBdr>
        <w:top w:val="none" w:sz="0" w:space="0" w:color="auto"/>
        <w:left w:val="none" w:sz="0" w:space="0" w:color="auto"/>
        <w:bottom w:val="none" w:sz="0" w:space="0" w:color="auto"/>
        <w:right w:val="none" w:sz="0" w:space="0" w:color="auto"/>
      </w:divBdr>
    </w:div>
    <w:div w:id="568345240">
      <w:bodyDiv w:val="1"/>
      <w:marLeft w:val="0"/>
      <w:marRight w:val="0"/>
      <w:marTop w:val="0"/>
      <w:marBottom w:val="0"/>
      <w:divBdr>
        <w:top w:val="none" w:sz="0" w:space="0" w:color="auto"/>
        <w:left w:val="none" w:sz="0" w:space="0" w:color="auto"/>
        <w:bottom w:val="none" w:sz="0" w:space="0" w:color="auto"/>
        <w:right w:val="none" w:sz="0" w:space="0" w:color="auto"/>
      </w:divBdr>
    </w:div>
    <w:div w:id="585963816">
      <w:bodyDiv w:val="1"/>
      <w:marLeft w:val="0"/>
      <w:marRight w:val="0"/>
      <w:marTop w:val="0"/>
      <w:marBottom w:val="0"/>
      <w:divBdr>
        <w:top w:val="none" w:sz="0" w:space="0" w:color="auto"/>
        <w:left w:val="none" w:sz="0" w:space="0" w:color="auto"/>
        <w:bottom w:val="none" w:sz="0" w:space="0" w:color="auto"/>
        <w:right w:val="none" w:sz="0" w:space="0" w:color="auto"/>
      </w:divBdr>
    </w:div>
    <w:div w:id="629438777">
      <w:bodyDiv w:val="1"/>
      <w:marLeft w:val="0"/>
      <w:marRight w:val="0"/>
      <w:marTop w:val="0"/>
      <w:marBottom w:val="0"/>
      <w:divBdr>
        <w:top w:val="none" w:sz="0" w:space="0" w:color="auto"/>
        <w:left w:val="none" w:sz="0" w:space="0" w:color="auto"/>
        <w:bottom w:val="none" w:sz="0" w:space="0" w:color="auto"/>
        <w:right w:val="none" w:sz="0" w:space="0" w:color="auto"/>
      </w:divBdr>
    </w:div>
    <w:div w:id="710424152">
      <w:bodyDiv w:val="1"/>
      <w:marLeft w:val="0"/>
      <w:marRight w:val="0"/>
      <w:marTop w:val="0"/>
      <w:marBottom w:val="0"/>
      <w:divBdr>
        <w:top w:val="none" w:sz="0" w:space="0" w:color="auto"/>
        <w:left w:val="none" w:sz="0" w:space="0" w:color="auto"/>
        <w:bottom w:val="none" w:sz="0" w:space="0" w:color="auto"/>
        <w:right w:val="none" w:sz="0" w:space="0" w:color="auto"/>
      </w:divBdr>
    </w:div>
    <w:div w:id="829441274">
      <w:bodyDiv w:val="1"/>
      <w:marLeft w:val="0"/>
      <w:marRight w:val="0"/>
      <w:marTop w:val="0"/>
      <w:marBottom w:val="0"/>
      <w:divBdr>
        <w:top w:val="none" w:sz="0" w:space="0" w:color="auto"/>
        <w:left w:val="none" w:sz="0" w:space="0" w:color="auto"/>
        <w:bottom w:val="none" w:sz="0" w:space="0" w:color="auto"/>
        <w:right w:val="none" w:sz="0" w:space="0" w:color="auto"/>
      </w:divBdr>
    </w:div>
    <w:div w:id="923565152">
      <w:bodyDiv w:val="1"/>
      <w:marLeft w:val="0"/>
      <w:marRight w:val="0"/>
      <w:marTop w:val="0"/>
      <w:marBottom w:val="0"/>
      <w:divBdr>
        <w:top w:val="none" w:sz="0" w:space="0" w:color="auto"/>
        <w:left w:val="none" w:sz="0" w:space="0" w:color="auto"/>
        <w:bottom w:val="none" w:sz="0" w:space="0" w:color="auto"/>
        <w:right w:val="none" w:sz="0" w:space="0" w:color="auto"/>
      </w:divBdr>
    </w:div>
    <w:div w:id="1003514700">
      <w:bodyDiv w:val="1"/>
      <w:marLeft w:val="0"/>
      <w:marRight w:val="0"/>
      <w:marTop w:val="0"/>
      <w:marBottom w:val="0"/>
      <w:divBdr>
        <w:top w:val="none" w:sz="0" w:space="0" w:color="auto"/>
        <w:left w:val="none" w:sz="0" w:space="0" w:color="auto"/>
        <w:bottom w:val="none" w:sz="0" w:space="0" w:color="auto"/>
        <w:right w:val="none" w:sz="0" w:space="0" w:color="auto"/>
      </w:divBdr>
    </w:div>
    <w:div w:id="1037121568">
      <w:bodyDiv w:val="1"/>
      <w:marLeft w:val="0"/>
      <w:marRight w:val="0"/>
      <w:marTop w:val="0"/>
      <w:marBottom w:val="0"/>
      <w:divBdr>
        <w:top w:val="none" w:sz="0" w:space="0" w:color="auto"/>
        <w:left w:val="none" w:sz="0" w:space="0" w:color="auto"/>
        <w:bottom w:val="none" w:sz="0" w:space="0" w:color="auto"/>
        <w:right w:val="none" w:sz="0" w:space="0" w:color="auto"/>
      </w:divBdr>
    </w:div>
    <w:div w:id="1078358828">
      <w:bodyDiv w:val="1"/>
      <w:marLeft w:val="0"/>
      <w:marRight w:val="0"/>
      <w:marTop w:val="0"/>
      <w:marBottom w:val="0"/>
      <w:divBdr>
        <w:top w:val="none" w:sz="0" w:space="0" w:color="auto"/>
        <w:left w:val="none" w:sz="0" w:space="0" w:color="auto"/>
        <w:bottom w:val="none" w:sz="0" w:space="0" w:color="auto"/>
        <w:right w:val="none" w:sz="0" w:space="0" w:color="auto"/>
      </w:divBdr>
    </w:div>
    <w:div w:id="1166243203">
      <w:bodyDiv w:val="1"/>
      <w:marLeft w:val="0"/>
      <w:marRight w:val="0"/>
      <w:marTop w:val="0"/>
      <w:marBottom w:val="0"/>
      <w:divBdr>
        <w:top w:val="none" w:sz="0" w:space="0" w:color="auto"/>
        <w:left w:val="none" w:sz="0" w:space="0" w:color="auto"/>
        <w:bottom w:val="none" w:sz="0" w:space="0" w:color="auto"/>
        <w:right w:val="none" w:sz="0" w:space="0" w:color="auto"/>
      </w:divBdr>
    </w:div>
    <w:div w:id="1354577831">
      <w:bodyDiv w:val="1"/>
      <w:marLeft w:val="0"/>
      <w:marRight w:val="0"/>
      <w:marTop w:val="0"/>
      <w:marBottom w:val="0"/>
      <w:divBdr>
        <w:top w:val="none" w:sz="0" w:space="0" w:color="auto"/>
        <w:left w:val="none" w:sz="0" w:space="0" w:color="auto"/>
        <w:bottom w:val="none" w:sz="0" w:space="0" w:color="auto"/>
        <w:right w:val="none" w:sz="0" w:space="0" w:color="auto"/>
      </w:divBdr>
    </w:div>
    <w:div w:id="1610890906">
      <w:bodyDiv w:val="1"/>
      <w:marLeft w:val="0"/>
      <w:marRight w:val="0"/>
      <w:marTop w:val="0"/>
      <w:marBottom w:val="0"/>
      <w:divBdr>
        <w:top w:val="none" w:sz="0" w:space="0" w:color="auto"/>
        <w:left w:val="none" w:sz="0" w:space="0" w:color="auto"/>
        <w:bottom w:val="none" w:sz="0" w:space="0" w:color="auto"/>
        <w:right w:val="none" w:sz="0" w:space="0" w:color="auto"/>
      </w:divBdr>
    </w:div>
    <w:div w:id="1629697091">
      <w:bodyDiv w:val="1"/>
      <w:marLeft w:val="0"/>
      <w:marRight w:val="0"/>
      <w:marTop w:val="0"/>
      <w:marBottom w:val="0"/>
      <w:divBdr>
        <w:top w:val="none" w:sz="0" w:space="0" w:color="auto"/>
        <w:left w:val="none" w:sz="0" w:space="0" w:color="auto"/>
        <w:bottom w:val="none" w:sz="0" w:space="0" w:color="auto"/>
        <w:right w:val="none" w:sz="0" w:space="0" w:color="auto"/>
      </w:divBdr>
    </w:div>
    <w:div w:id="1668054583">
      <w:bodyDiv w:val="1"/>
      <w:marLeft w:val="0"/>
      <w:marRight w:val="0"/>
      <w:marTop w:val="0"/>
      <w:marBottom w:val="0"/>
      <w:divBdr>
        <w:top w:val="none" w:sz="0" w:space="0" w:color="auto"/>
        <w:left w:val="none" w:sz="0" w:space="0" w:color="auto"/>
        <w:bottom w:val="none" w:sz="0" w:space="0" w:color="auto"/>
        <w:right w:val="none" w:sz="0" w:space="0" w:color="auto"/>
      </w:divBdr>
      <w:divsChild>
        <w:div w:id="370572009">
          <w:marLeft w:val="0"/>
          <w:marRight w:val="0"/>
          <w:marTop w:val="0"/>
          <w:marBottom w:val="0"/>
          <w:divBdr>
            <w:top w:val="none" w:sz="0" w:space="0" w:color="auto"/>
            <w:left w:val="none" w:sz="0" w:space="0" w:color="auto"/>
            <w:bottom w:val="none" w:sz="0" w:space="0" w:color="auto"/>
            <w:right w:val="none" w:sz="0" w:space="0" w:color="auto"/>
          </w:divBdr>
          <w:divsChild>
            <w:div w:id="21092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5038">
      <w:bodyDiv w:val="1"/>
      <w:marLeft w:val="0"/>
      <w:marRight w:val="0"/>
      <w:marTop w:val="0"/>
      <w:marBottom w:val="0"/>
      <w:divBdr>
        <w:top w:val="none" w:sz="0" w:space="0" w:color="auto"/>
        <w:left w:val="none" w:sz="0" w:space="0" w:color="auto"/>
        <w:bottom w:val="none" w:sz="0" w:space="0" w:color="auto"/>
        <w:right w:val="none" w:sz="0" w:space="0" w:color="auto"/>
      </w:divBdr>
    </w:div>
    <w:div w:id="20037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4844-BD2B-4D13-BB9B-40E02C40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10849</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HRVATSKA</vt:lpstr>
      <vt:lpstr>REPUBLIKA  HRVATSKA</vt:lpstr>
    </vt:vector>
  </TitlesOfParts>
  <Company>Microsoft</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Acer</dc:creator>
  <cp:keywords/>
  <cp:lastModifiedBy>Robert Poljak</cp:lastModifiedBy>
  <cp:revision>2</cp:revision>
  <cp:lastPrinted>2020-03-12T11:06:00Z</cp:lastPrinted>
  <dcterms:created xsi:type="dcterms:W3CDTF">2020-04-02T11:58:00Z</dcterms:created>
  <dcterms:modified xsi:type="dcterms:W3CDTF">2020-04-02T11:58:00Z</dcterms:modified>
</cp:coreProperties>
</file>